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43C3D">
      <w:pPr>
        <w:spacing w:before="200" w:after="80"/>
        <w:jc w:val="left"/>
        <w:rPr>
          <w:rFonts w:hint="eastAsia" w:ascii="仿宋" w:hAnsi="仿宋" w:eastAsia="仿宋" w:cs="仿宋"/>
          <w:b/>
          <w:color w:val="1A1A1A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1A1A1A"/>
          <w:sz w:val="28"/>
          <w:szCs w:val="28"/>
          <w:lang w:val="en-US" w:eastAsia="zh-CN"/>
        </w:rPr>
        <w:t>附件三：</w:t>
      </w:r>
    </w:p>
    <w:p w14:paraId="3F65FBF7">
      <w:pPr>
        <w:spacing w:before="200" w:after="80"/>
        <w:jc w:val="center"/>
      </w:pPr>
      <w:r>
        <w:rPr>
          <w:rFonts w:ascii="Inter" w:hAnsi="Inter" w:eastAsia="Noto Sans SC"/>
          <w:b/>
          <w:color w:val="1A1A1A"/>
          <w:sz w:val="48"/>
        </w:rPr>
        <w:t>标 本 转 运 服 务 合 同</w:t>
      </w:r>
    </w:p>
    <w:p w14:paraId="22A9B786">
      <w:pPr>
        <w:spacing w:before="160" w:after="120" w:line="336" w:lineRule="auto"/>
        <w:ind w:firstLine="840" w:firstLineChars="3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本合同由下列双方在平等、自愿、公平、诚实信用的原则基础上订立。双方确认，医学检验标本具有生物安全风险、时限要求严格、患者个人信息敏感等特殊属性，双方应共同遵守本合同约定及国家有关法律、行政法规、部门规章和技术规范。</w:t>
      </w:r>
    </w:p>
    <w:p w14:paraId="37B6C3D2">
      <w:pPr>
        <w:spacing w:after="40" w:line="324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甲方（委托方）：</w:t>
      </w:r>
      <w:r>
        <w:rPr>
          <w:rFonts w:hint="eastAsia" w:ascii="仿宋" w:hAnsi="仿宋" w:eastAsia="仿宋" w:cs="仿宋"/>
          <w:b/>
          <w:bCs/>
          <w:color w:val="888888"/>
          <w:sz w:val="28"/>
          <w:szCs w:val="28"/>
          <w:lang w:val="en-US" w:eastAsia="zh-CN"/>
        </w:rPr>
        <w:t>萧县人民医院</w:t>
      </w:r>
      <w:r>
        <w:rPr>
          <w:rFonts w:hint="eastAsia" w:ascii="仿宋" w:hAnsi="仿宋" w:eastAsia="仿宋" w:cs="仿宋"/>
          <w:b w:val="0"/>
          <w:color w:val="888888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乙方（承运方）：</w:t>
      </w:r>
    </w:p>
    <w:p w14:paraId="22D38126">
      <w:pPr>
        <w:spacing w:after="40" w:line="324" w:lineRule="auto"/>
        <w:rPr>
          <w:rFonts w:hint="eastAsia" w:ascii="仿宋" w:hAnsi="仿宋" w:eastAsia="仿宋" w:cs="仿宋"/>
          <w:b w:val="0"/>
          <w:color w:val="88888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住所地：</w:t>
      </w:r>
      <w:r>
        <w:rPr>
          <w:rFonts w:hint="eastAsia" w:ascii="仿宋" w:hAnsi="仿宋" w:eastAsia="仿宋" w:cs="仿宋"/>
          <w:b w:val="0"/>
          <w:color w:val="888888"/>
          <w:sz w:val="28"/>
          <w:szCs w:val="28"/>
          <w:lang w:val="en-US" w:eastAsia="zh-CN"/>
        </w:rPr>
        <w:t xml:space="preserve">萧县龙城镇公园路160号           </w:t>
      </w: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住所地：</w:t>
      </w:r>
    </w:p>
    <w:p w14:paraId="3FAD97BC">
      <w:pPr>
        <w:spacing w:before="80" w:after="40" w:line="312" w:lineRule="auto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联系人：</w:t>
      </w:r>
      <w:r>
        <w:rPr>
          <w:rFonts w:hint="eastAsia" w:ascii="仿宋" w:hAnsi="仿宋" w:eastAsia="仿宋" w:cs="仿宋"/>
          <w:b/>
          <w:color w:val="1A1A1A"/>
          <w:sz w:val="28"/>
          <w:szCs w:val="28"/>
          <w:lang w:val="en-US" w:eastAsia="zh-CN"/>
        </w:rPr>
        <w:t xml:space="preserve">                                 </w:t>
      </w: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联系人：</w:t>
      </w:r>
    </w:p>
    <w:p w14:paraId="7FF8A3D3">
      <w:pPr>
        <w:spacing w:after="20"/>
        <w:rPr>
          <w:rFonts w:hint="eastAsia" w:ascii="仿宋" w:hAnsi="仿宋" w:eastAsia="仿宋" w:cs="仿宋"/>
          <w:sz w:val="28"/>
          <w:szCs w:val="28"/>
        </w:rPr>
      </w:pPr>
    </w:p>
    <w:p w14:paraId="12EEE8A9">
      <w:pPr>
        <w:spacing w:before="240" w:after="100" w:line="312" w:lineRule="auto"/>
        <w:ind w:left="1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第一条　服务内容与范围</w:t>
      </w:r>
    </w:p>
    <w:p w14:paraId="773AD356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1.1　乙方按本合同约定提供下列服务：按约定时间到达各采样点收取标本并核对信息；按规范完成分类、包装、装箱；按规定温控与时限送达甲方检验中心并完成交接；异常事件的即时报告与处置。</w:t>
      </w:r>
    </w:p>
    <w:p w14:paraId="13750518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1.2　服务分为定时班车、应急加急和临时调用三类：定时班车不得擅自并点、跳点、漏取；应急加急由甲方发起，乙方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及时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内响应；临时调用（节假日、突发公共卫生事件、大规模体检等）乙方应予配合。</w:t>
      </w:r>
    </w:p>
    <w:p w14:paraId="258DA65B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1.3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　乙方应使用并维护“主容器—辅助容器—外包装”三层包装系统：主容器防漏密封并外覆足量吸水材料；辅助容器防漏抗压；外包装硬质防破损。标本不得与食品、药品、危险品及生活垃圾混装。</w:t>
      </w:r>
    </w:p>
    <w:p w14:paraId="6577D932">
      <w:pPr>
        <w:spacing w:before="240" w:after="100" w:line="312" w:lineRule="auto"/>
        <w:ind w:left="1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color w:val="1A1A1A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条　交接、签收与全程追溯</w:t>
      </w:r>
    </w:p>
    <w:p w14:paraId="74F5DC80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.1　收取标本时，乙方人员应与采样单位工作人员共同核对患者姓名、唯一标识（门诊号／住院号／条码号）、标本类型、容器与采血量及检验项目，做到申请信息、标本实物、标签标识三者相符。</w:t>
      </w:r>
    </w:p>
    <w:p w14:paraId="4FE0B0DE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b w:val="0"/>
          <w:color w:val="1A1A1A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.2　出现下列情形之一的，乙方应当场拒收并在交接单注明原因：（1）标识缺失、模糊或与申请单不符；（2）容器破损、渗漏或采血量明显不足；（3）标本严重溶血、凝集、稀释或被污染；（4）未按约定温控或已超过允许转运时长；</w:t>
      </w:r>
    </w:p>
    <w:p w14:paraId="6CFEC71F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b w:val="0"/>
          <w:color w:val="1A1A1A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.3　交接应签署《标本转运交接单》，载明交接时间、地点、双方经办人、标本数量与类别异常备注等事项。</w:t>
      </w:r>
    </w:p>
    <w:p w14:paraId="78F07953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　检验中心签收不构成对运输过程中已形成但签收时不易发现的损害（如温度失控、剧烈震荡导致溶血等）的免责确认，乙方仍应承担相应责任。</w:t>
      </w:r>
    </w:p>
    <w:p w14:paraId="0E329C95">
      <w:pPr>
        <w:spacing w:before="240" w:after="100" w:line="312" w:lineRule="auto"/>
        <w:ind w:left="1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color w:val="1A1A1A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条　人员、车辆与设备</w:t>
      </w:r>
    </w:p>
    <w:p w14:paraId="00FC303A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.1　乙方应具备合法有效的营业执照、道路运输经营许可及与本合同服务相适应的资质；跨区域运输应符合沿途交通运输与卫生健康监管要求。</w:t>
      </w:r>
    </w:p>
    <w:p w14:paraId="4BAB9977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.2　转运人员应接受生物安全、职业防护、标本处置、冷链操作及信息系统使用培训并考核合格，建立健康档案，按国家规定完成相关疫苗接种，作业时规范穿戴防护用品。</w:t>
      </w:r>
    </w:p>
    <w:p w14:paraId="5BF5B4A7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b w:val="0"/>
          <w:color w:val="1A1A1A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.3　转运车辆应车况良好并专车专用（或配备专用运输箱），配备应急物资，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每日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清洁消毒并保存记录。</w:t>
      </w:r>
    </w:p>
    <w:p w14:paraId="5040B8DA">
      <w:pPr>
        <w:spacing w:before="60" w:after="60" w:line="372" w:lineRule="auto"/>
        <w:ind w:left="560" w:hanging="560"/>
        <w:jc w:val="both"/>
        <w:rPr>
          <w:rFonts w:hint="default" w:ascii="仿宋" w:hAnsi="仿宋" w:eastAsia="仿宋" w:cs="仿宋"/>
          <w:b w:val="0"/>
          <w:color w:val="1A1A1A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3.4 乙方在运输标本的过程中，因乙方原因造成的标本泄漏、丢失及物品损坏或人员伤害，均由乙方承担责任并赔偿相关经济损失。</w:t>
      </w:r>
    </w:p>
    <w:p w14:paraId="25CCFFE5">
      <w:pPr>
        <w:spacing w:before="240" w:after="100" w:line="312" w:lineRule="auto"/>
        <w:ind w:left="1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color w:val="1A1A1A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条　双方权利义务与违约责任</w:t>
      </w:r>
    </w:p>
    <w:p w14:paraId="2F3B29D7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.1　甲方权利义务：向乙方提供准确的采样点位、班次要求、标本类别、包装与温控标准；按约定及时签收、结算；有权对乙方车辆、设备、人员、记录进行检查，乙方应予配合。因甲方或采样单位原因（标识错误、容器缺陷、采集不当）导致的质量问题，不属于乙方责任。</w:t>
      </w:r>
    </w:p>
    <w:p w14:paraId="791FD560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.2　乙方权利义务：按约定标准、时间、线路和方法完成转运，未经甲方书面同意不得转委托第三方；保证人员、车辆、设备持续符合约定条件；完整真实记录并保存转运全过程数据；按约定收取服务费用。</w:t>
      </w:r>
    </w:p>
    <w:p w14:paraId="7E9A086F">
      <w:pPr>
        <w:spacing w:before="240" w:after="100" w:line="312" w:lineRule="auto"/>
        <w:ind w:left="1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color w:val="1A1A1A"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条　信息安全、保密与保险</w:t>
      </w:r>
    </w:p>
    <w:p w14:paraId="05E7557D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.1　乙方处理标本相关信息（患者姓名、联系方式、诊疗与检验信息、标本编号等）仅限于履行本合同之目的，不得抄录、拍摄、传播标本标签与申请单上的患者信息，不得向任何第三方提供、出售或泄露。</w:t>
      </w:r>
    </w:p>
    <w:p w14:paraId="24DD9C58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.2　乙方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应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签署保密承诺书。转运记录保存不少于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年；发生或可能发生信息泄露的，乙方应在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小时内通知甲方。</w:t>
      </w:r>
    </w:p>
    <w:p w14:paraId="41221A25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.3　双方对因履行本合同知悉的对方商业秘密、技术信息、经营数据及患者个人信息负有保密义务，保密义务不因合同终止而免除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涉及患者个人信息的依法长期有效。</w:t>
      </w:r>
    </w:p>
    <w:p w14:paraId="1C508987">
      <w:pPr>
        <w:spacing w:before="240" w:after="100" w:line="312" w:lineRule="auto"/>
        <w:ind w:left="1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color w:val="1A1A1A"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条　服务费用与结算</w:t>
      </w:r>
    </w:p>
    <w:p w14:paraId="44626C00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.2　双方按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季度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结算。乙方于次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季度5各工作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日前提交服务量统计及对账单，甲方在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个工作日内核对确认；乙方开具合法有效发票后，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进入结算流程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。除本合同约定费用外，乙方不得以任何名义向甲方、采样单位或患者另行收费。</w:t>
      </w:r>
    </w:p>
    <w:p w14:paraId="5385D271">
      <w:pPr>
        <w:spacing w:before="60" w:after="60" w:line="372" w:lineRule="auto"/>
        <w:ind w:left="560" w:hanging="560"/>
        <w:jc w:val="both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6.2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　本合同自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年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日起至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年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日止；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甲方</w:t>
      </w:r>
      <w:r>
        <w:rPr>
          <w:rFonts w:hint="eastAsia" w:ascii="仿宋" w:hAnsi="仿宋" w:eastAsia="仿宋"/>
          <w:sz w:val="28"/>
          <w:szCs w:val="28"/>
          <w:lang w:eastAsia="zh-CN"/>
        </w:rPr>
        <w:t>考核合格且年度预算能保障的前提下，双方协商一致，可续签下一年度合同，合同续期累计最长不超过2年。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具体考核细则，详见附件。</w:t>
      </w:r>
    </w:p>
    <w:p w14:paraId="07C99BF5">
      <w:pPr>
        <w:spacing w:before="240" w:after="100" w:line="312" w:lineRule="auto"/>
        <w:ind w:left="1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color w:val="1A1A1A"/>
          <w:sz w:val="28"/>
          <w:szCs w:val="28"/>
          <w:lang w:val="en-US" w:eastAsia="zh-CN"/>
        </w:rPr>
        <w:t>七</w:t>
      </w:r>
      <w:r>
        <w:rPr>
          <w:rFonts w:hint="eastAsia" w:ascii="仿宋" w:hAnsi="仿宋" w:eastAsia="仿宋" w:cs="仿宋"/>
          <w:b/>
          <w:color w:val="1A1A1A"/>
          <w:sz w:val="28"/>
          <w:szCs w:val="28"/>
        </w:rPr>
        <w:t>条　争议解决</w:t>
      </w:r>
    </w:p>
    <w:p w14:paraId="4CCBD019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　因地震、台风、洪水、暴雪、疫情管控、政府管制、战争等不可抗力致不能履行的，双方协商延期、部分履行或解除，互不承担违约责任；</w:t>
      </w:r>
    </w:p>
    <w:p w14:paraId="5F198973">
      <w:pPr>
        <w:spacing w:before="60" w:after="60" w:line="372" w:lineRule="auto"/>
        <w:ind w:left="560" w:hanging="56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.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color w:val="1A1A1A"/>
          <w:sz w:val="28"/>
          <w:szCs w:val="28"/>
        </w:rPr>
        <w:t>　因本合同引起的争议，双方应协商解决；协商不成的向甲方所在地有管辖权的人民法院提起诉讼；争议解决期间标本转运服务不得中断。</w:t>
      </w:r>
    </w:p>
    <w:p w14:paraId="4C710E6A">
      <w:pPr>
        <w:spacing w:after="20"/>
        <w:rPr>
          <w:rFonts w:hint="eastAsia" w:ascii="仿宋" w:hAnsi="仿宋" w:eastAsia="仿宋" w:cs="仿宋"/>
          <w:sz w:val="28"/>
          <w:szCs w:val="28"/>
        </w:rPr>
      </w:pPr>
    </w:p>
    <w:p w14:paraId="46558EB2">
      <w:pPr>
        <w:spacing w:after="20"/>
        <w:rPr>
          <w:rFonts w:hint="eastAsia" w:ascii="仿宋" w:hAnsi="仿宋" w:eastAsia="仿宋" w:cs="仿宋"/>
          <w:sz w:val="28"/>
          <w:szCs w:val="28"/>
        </w:rPr>
      </w:pPr>
    </w:p>
    <w:p w14:paraId="585ED54A">
      <w:pPr>
        <w:spacing w:after="20"/>
        <w:rPr>
          <w:rFonts w:hint="eastAsia" w:ascii="仿宋" w:hAnsi="仿宋" w:eastAsia="仿宋" w:cs="仿宋"/>
          <w:sz w:val="28"/>
          <w:szCs w:val="28"/>
        </w:rPr>
      </w:pPr>
    </w:p>
    <w:p w14:paraId="0E3D6522">
      <w:pPr>
        <w:spacing w:after="20"/>
        <w:rPr>
          <w:rFonts w:hint="eastAsia" w:ascii="仿宋" w:hAnsi="仿宋" w:eastAsia="仿宋" w:cs="仿宋"/>
          <w:sz w:val="28"/>
          <w:szCs w:val="28"/>
        </w:rPr>
      </w:pPr>
    </w:p>
    <w:tbl>
      <w:tblPr>
        <w:tblStyle w:val="33"/>
        <w:tblW w:w="96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818"/>
      </w:tblGrid>
      <w:tr w14:paraId="5BFE8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8" w:type="dxa"/>
            <w:shd w:val="clear" w:color="auto" w:fill="auto"/>
            <w:vAlign w:val="center"/>
          </w:tcPr>
          <w:p w14:paraId="5B8F10B5">
            <w:pPr>
              <w:spacing w:before="20" w:after="20" w:line="288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甲方（委托方）</w:t>
            </w:r>
          </w:p>
        </w:tc>
        <w:tc>
          <w:tcPr>
            <w:tcW w:w="4818" w:type="dxa"/>
            <w:shd w:val="clear" w:color="auto" w:fill="auto"/>
            <w:vAlign w:val="center"/>
          </w:tcPr>
          <w:p w14:paraId="3C46ABE2">
            <w:pPr>
              <w:spacing w:before="20" w:after="20" w:line="288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乙方（承运方）</w:t>
            </w:r>
          </w:p>
        </w:tc>
      </w:tr>
      <w:tr w14:paraId="0FA47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8" w:type="dxa"/>
            <w:shd w:val="clear" w:color="auto" w:fill="auto"/>
            <w:vAlign w:val="center"/>
          </w:tcPr>
          <w:p w14:paraId="7005687F">
            <w:pPr>
              <w:spacing w:before="100" w:after="100" w:line="288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1A1A1A"/>
                <w:sz w:val="28"/>
                <w:szCs w:val="28"/>
              </w:rPr>
              <w:t>甲方（盖章）：</w:t>
            </w:r>
          </w:p>
        </w:tc>
        <w:tc>
          <w:tcPr>
            <w:tcW w:w="4818" w:type="dxa"/>
            <w:shd w:val="clear" w:color="auto" w:fill="auto"/>
            <w:vAlign w:val="center"/>
          </w:tcPr>
          <w:p w14:paraId="02D14FD5">
            <w:pPr>
              <w:spacing w:before="100" w:after="100" w:line="288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1A1A1A"/>
                <w:sz w:val="28"/>
                <w:szCs w:val="28"/>
              </w:rPr>
              <w:t>乙方（盖章）：</w:t>
            </w:r>
          </w:p>
        </w:tc>
      </w:tr>
      <w:tr w14:paraId="62E94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8" w:type="dxa"/>
            <w:shd w:val="clear" w:color="auto" w:fill="auto"/>
            <w:vAlign w:val="center"/>
          </w:tcPr>
          <w:p w14:paraId="421FEEAE">
            <w:pPr>
              <w:spacing w:before="100" w:after="100" w:line="288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1A1A1A"/>
                <w:sz w:val="28"/>
                <w:szCs w:val="28"/>
              </w:rPr>
              <w:t>法定代表人／授权代表（签字）：</w:t>
            </w:r>
          </w:p>
        </w:tc>
        <w:tc>
          <w:tcPr>
            <w:tcW w:w="4818" w:type="dxa"/>
            <w:shd w:val="clear" w:color="auto" w:fill="auto"/>
            <w:vAlign w:val="center"/>
          </w:tcPr>
          <w:p w14:paraId="1116C97A">
            <w:pPr>
              <w:spacing w:before="100" w:after="100" w:line="288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1A1A1A"/>
                <w:sz w:val="28"/>
                <w:szCs w:val="28"/>
              </w:rPr>
              <w:t>法定代表人／授权代表（签字）：</w:t>
            </w:r>
          </w:p>
        </w:tc>
      </w:tr>
      <w:tr w14:paraId="49F25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8" w:type="dxa"/>
            <w:shd w:val="clear" w:color="auto" w:fill="auto"/>
            <w:vAlign w:val="center"/>
          </w:tcPr>
          <w:p w14:paraId="52C4B602">
            <w:pPr>
              <w:spacing w:before="100" w:after="100" w:line="288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1A1A1A"/>
                <w:sz w:val="28"/>
                <w:szCs w:val="28"/>
              </w:rPr>
              <w:t>经办人（签字）：</w:t>
            </w:r>
          </w:p>
        </w:tc>
        <w:tc>
          <w:tcPr>
            <w:tcW w:w="4818" w:type="dxa"/>
            <w:shd w:val="clear" w:color="auto" w:fill="auto"/>
            <w:vAlign w:val="center"/>
          </w:tcPr>
          <w:p w14:paraId="440E9FAD">
            <w:pPr>
              <w:spacing w:before="100" w:after="100" w:line="288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1A1A1A"/>
                <w:sz w:val="28"/>
                <w:szCs w:val="28"/>
              </w:rPr>
              <w:t>经办人（签字）：</w:t>
            </w:r>
          </w:p>
        </w:tc>
      </w:tr>
      <w:tr w14:paraId="6967C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8" w:type="dxa"/>
            <w:shd w:val="clear" w:color="auto" w:fill="auto"/>
            <w:vAlign w:val="center"/>
          </w:tcPr>
          <w:p w14:paraId="367ED875">
            <w:pPr>
              <w:spacing w:before="100" w:after="100" w:line="288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1A1A1A"/>
                <w:sz w:val="28"/>
                <w:szCs w:val="28"/>
              </w:rPr>
              <w:t>联系电话：</w:t>
            </w:r>
          </w:p>
        </w:tc>
        <w:tc>
          <w:tcPr>
            <w:tcW w:w="4818" w:type="dxa"/>
            <w:shd w:val="clear" w:color="auto" w:fill="auto"/>
            <w:vAlign w:val="center"/>
          </w:tcPr>
          <w:p w14:paraId="07096109">
            <w:pPr>
              <w:spacing w:before="100" w:after="100" w:line="288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1A1A1A"/>
                <w:sz w:val="28"/>
                <w:szCs w:val="28"/>
              </w:rPr>
              <w:t>联系电话：</w:t>
            </w:r>
          </w:p>
        </w:tc>
      </w:tr>
      <w:tr w14:paraId="12F00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8" w:type="dxa"/>
            <w:shd w:val="clear" w:color="auto" w:fill="auto"/>
            <w:vAlign w:val="center"/>
          </w:tcPr>
          <w:p w14:paraId="37FAE9D2">
            <w:pPr>
              <w:spacing w:before="100" w:after="100" w:line="288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1A1A1A"/>
                <w:sz w:val="28"/>
                <w:szCs w:val="28"/>
              </w:rPr>
              <w:t>开户银行及账号：</w:t>
            </w:r>
          </w:p>
        </w:tc>
        <w:tc>
          <w:tcPr>
            <w:tcW w:w="4818" w:type="dxa"/>
            <w:shd w:val="clear" w:color="auto" w:fill="auto"/>
            <w:vAlign w:val="center"/>
          </w:tcPr>
          <w:p w14:paraId="77780C88">
            <w:pPr>
              <w:spacing w:before="100" w:after="100" w:line="288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1A1A1A"/>
                <w:sz w:val="28"/>
                <w:szCs w:val="28"/>
              </w:rPr>
              <w:t>开户银行及账号：</w:t>
            </w:r>
          </w:p>
        </w:tc>
      </w:tr>
      <w:tr w14:paraId="5E18D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8" w:type="dxa"/>
            <w:shd w:val="clear" w:color="auto" w:fill="auto"/>
            <w:vAlign w:val="center"/>
          </w:tcPr>
          <w:p w14:paraId="2978E7B5">
            <w:pPr>
              <w:spacing w:before="100" w:after="100" w:line="288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1A1A1A"/>
                <w:sz w:val="28"/>
                <w:szCs w:val="28"/>
              </w:rPr>
              <w:t>签订日期：　　年　　月　　日</w:t>
            </w:r>
          </w:p>
        </w:tc>
        <w:tc>
          <w:tcPr>
            <w:tcW w:w="4818" w:type="dxa"/>
            <w:shd w:val="clear" w:color="auto" w:fill="auto"/>
            <w:vAlign w:val="center"/>
          </w:tcPr>
          <w:p w14:paraId="55480DD6">
            <w:pPr>
              <w:spacing w:before="100" w:after="100" w:line="288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1A1A1A"/>
                <w:sz w:val="28"/>
                <w:szCs w:val="28"/>
              </w:rPr>
              <w:t>签订日期：　　年　　月　　日</w:t>
            </w:r>
          </w:p>
        </w:tc>
      </w:tr>
    </w:tbl>
    <w:p w14:paraId="4A11B1F3">
      <w:pPr>
        <w:rPr>
          <w:rFonts w:hint="eastAsia" w:ascii="仿宋" w:hAnsi="仿宋" w:eastAsia="仿宋" w:cs="仿宋"/>
          <w:sz w:val="28"/>
          <w:szCs w:val="28"/>
        </w:rPr>
      </w:pPr>
    </w:p>
    <w:p w14:paraId="5B727D62">
      <w:pPr>
        <w:rPr>
          <w:rFonts w:hint="eastAsia" w:ascii="仿宋" w:hAnsi="仿宋" w:eastAsia="仿宋" w:cs="仿宋"/>
          <w:sz w:val="28"/>
          <w:szCs w:val="28"/>
        </w:rPr>
      </w:pPr>
    </w:p>
    <w:p w14:paraId="094C209E">
      <w:pPr>
        <w:rPr>
          <w:rFonts w:hint="eastAsia" w:ascii="仿宋" w:hAnsi="仿宋" w:eastAsia="仿宋" w:cs="仿宋"/>
          <w:sz w:val="28"/>
          <w:szCs w:val="28"/>
        </w:rPr>
      </w:pPr>
    </w:p>
    <w:p w14:paraId="4C90E0D5">
      <w:pPr>
        <w:rPr>
          <w:rFonts w:hint="eastAsia" w:ascii="仿宋" w:hAnsi="仿宋" w:eastAsia="仿宋" w:cs="仿宋"/>
          <w:sz w:val="28"/>
          <w:szCs w:val="28"/>
        </w:rPr>
      </w:pPr>
    </w:p>
    <w:p w14:paraId="6099A05D">
      <w:pPr>
        <w:rPr>
          <w:rFonts w:hint="eastAsia" w:ascii="仿宋" w:hAnsi="仿宋" w:eastAsia="仿宋" w:cs="仿宋"/>
          <w:sz w:val="28"/>
          <w:szCs w:val="28"/>
        </w:rPr>
      </w:pPr>
    </w:p>
    <w:p w14:paraId="33FED342">
      <w:pPr>
        <w:rPr>
          <w:rFonts w:hint="eastAsia" w:ascii="仿宋" w:hAnsi="仿宋" w:eastAsia="仿宋" w:cs="仿宋"/>
          <w:sz w:val="28"/>
          <w:szCs w:val="28"/>
        </w:rPr>
      </w:pPr>
    </w:p>
    <w:p w14:paraId="5971C865">
      <w:pPr>
        <w:rPr>
          <w:rFonts w:hint="eastAsia" w:ascii="仿宋" w:hAnsi="仿宋" w:eastAsia="仿宋" w:cs="仿宋"/>
          <w:sz w:val="28"/>
          <w:szCs w:val="28"/>
        </w:rPr>
      </w:pPr>
    </w:p>
    <w:p w14:paraId="0A469170">
      <w:pPr>
        <w:rPr>
          <w:rFonts w:hint="eastAsia" w:ascii="仿宋" w:hAnsi="仿宋" w:eastAsia="仿宋" w:cs="仿宋"/>
          <w:sz w:val="28"/>
          <w:szCs w:val="28"/>
        </w:rPr>
      </w:pPr>
    </w:p>
    <w:p w14:paraId="17063AC5">
      <w:pPr>
        <w:rPr>
          <w:rFonts w:hint="eastAsia" w:ascii="仿宋" w:hAnsi="仿宋" w:eastAsia="仿宋" w:cs="仿宋"/>
          <w:sz w:val="28"/>
          <w:szCs w:val="28"/>
        </w:rPr>
      </w:pPr>
    </w:p>
    <w:p w14:paraId="08E1E003">
      <w:pPr>
        <w:rPr>
          <w:rFonts w:hint="eastAsia" w:ascii="仿宋" w:hAnsi="仿宋" w:eastAsia="仿宋" w:cs="仿宋"/>
          <w:sz w:val="28"/>
          <w:szCs w:val="28"/>
        </w:rPr>
      </w:pPr>
    </w:p>
    <w:p w14:paraId="17EBA5D6"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附件：                     </w:t>
      </w:r>
      <w:r>
        <w:rPr>
          <w:rFonts w:hint="eastAsia" w:ascii="仿宋" w:hAnsi="仿宋" w:eastAsia="仿宋" w:cs="仿宋"/>
          <w:b/>
          <w:bCs/>
          <w:i w:val="0"/>
          <w:iCs w:val="0"/>
          <w:color w:val="1A1A1A"/>
          <w:kern w:val="0"/>
          <w:sz w:val="32"/>
          <w:szCs w:val="32"/>
          <w:u w:val="none"/>
          <w:lang w:val="en-US" w:eastAsia="zh-CN" w:bidi="ar"/>
        </w:rPr>
        <w:t>质量指标考核表</w:t>
      </w:r>
    </w:p>
    <w:tbl>
      <w:tblPr>
        <w:tblStyle w:val="33"/>
        <w:tblW w:w="5736" w:type="pct"/>
        <w:tblInd w:w="-6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705"/>
        <w:gridCol w:w="735"/>
        <w:gridCol w:w="1050"/>
        <w:gridCol w:w="765"/>
        <w:gridCol w:w="330"/>
        <w:gridCol w:w="1620"/>
        <w:gridCol w:w="690"/>
        <w:gridCol w:w="825"/>
        <w:gridCol w:w="75"/>
        <w:gridCol w:w="720"/>
        <w:gridCol w:w="135"/>
        <w:gridCol w:w="450"/>
        <w:gridCol w:w="600"/>
        <w:gridCol w:w="1125"/>
        <w:gridCol w:w="865"/>
      </w:tblGrid>
      <w:tr w14:paraId="21FE3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3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13B94B1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被考核单位：</w:t>
            </w:r>
          </w:p>
        </w:tc>
        <w:tc>
          <w:tcPr>
            <w:tcW w:w="12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95BD123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考核时段：</w:t>
            </w:r>
          </w:p>
        </w:tc>
        <w:tc>
          <w:tcPr>
            <w:tcW w:w="10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6170C66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考核人：</w:t>
            </w:r>
          </w:p>
        </w:tc>
        <w:tc>
          <w:tcPr>
            <w:tcW w:w="14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CA3210D">
            <w:pPr>
              <w:jc w:val="both"/>
              <w:rPr>
                <w:rFonts w:hint="eastAsia" w:ascii="仿宋" w:hAnsi="仿宋" w:eastAsia="仿宋" w:cs="仿宋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制表日期：</w:t>
            </w:r>
          </w:p>
        </w:tc>
      </w:tr>
      <w:tr w14:paraId="2E497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36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-2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08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考核</w:t>
            </w:r>
          </w:p>
          <w:p w14:paraId="15D23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-2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2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-2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权重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7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-2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目标值</w:t>
            </w:r>
          </w:p>
        </w:tc>
        <w:tc>
          <w:tcPr>
            <w:tcW w:w="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64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零分</w:t>
            </w:r>
          </w:p>
          <w:p w14:paraId="0E3F9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-2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下限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F2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计量</w:t>
            </w:r>
          </w:p>
          <w:p w14:paraId="31A5E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-2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口径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B4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本期</w:t>
            </w:r>
          </w:p>
          <w:p w14:paraId="50E82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-2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总数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2C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-2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实际达标数</w:t>
            </w:r>
          </w:p>
        </w:tc>
        <w:tc>
          <w:tcPr>
            <w:tcW w:w="3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96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-2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实际达标率</w:t>
            </w:r>
          </w:p>
        </w:tc>
        <w:tc>
          <w:tcPr>
            <w:tcW w:w="2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C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-2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达标判定</w:t>
            </w: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19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-2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单项得分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F9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-2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数据来源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CD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-2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spacing w:val="-20"/>
                <w:kern w:val="0"/>
                <w:sz w:val="20"/>
                <w:szCs w:val="20"/>
                <w:u w:val="none"/>
                <w:lang w:val="en-US" w:eastAsia="zh-CN" w:bidi="ar"/>
              </w:rPr>
              <w:t>扣分说明 / 改进措施</w:t>
            </w:r>
          </w:p>
        </w:tc>
      </w:tr>
      <w:tr w14:paraId="5CC67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atLeast"/>
        </w:trPr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F7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09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时效达标率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C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30%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29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98.000%</w:t>
            </w:r>
          </w:p>
        </w:tc>
        <w:tc>
          <w:tcPr>
            <w:tcW w:w="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22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90.000%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9F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考核期内按时完成批次 ÷ 应完成总批次（以承诺时限/规定时限为判定基准）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BF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8E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B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6D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D1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65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纸质/</w:t>
            </w:r>
          </w:p>
          <w:p w14:paraId="19609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电子交接签收单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1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DD9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D9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F0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温度达标率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94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65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99.900%</w:t>
            </w:r>
          </w:p>
        </w:tc>
        <w:tc>
          <w:tcPr>
            <w:tcW w:w="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37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98.000%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40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温度达标记录数 ÷ 温度监测记录总数（全程冷链，区间按委托方规定执行）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65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4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30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95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19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6F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温控监测平台/</w:t>
            </w:r>
          </w:p>
          <w:p w14:paraId="52E4A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记录仪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BC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2F2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C2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7E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标本完好率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B1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30%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27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99.900%</w:t>
            </w:r>
          </w:p>
        </w:tc>
        <w:tc>
          <w:tcPr>
            <w:tcW w:w="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2B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98.000%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1B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完好标本件数 ÷ 交接标本总件数（无破损、无泄漏、无污染、标识清晰可溯）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A9E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9C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AF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BB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AE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F1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纸质/</w:t>
            </w:r>
          </w:p>
          <w:p w14:paraId="67F51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电子交接签收单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26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E0B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E9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E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交接信息完整率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FA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51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100.000%</w:t>
            </w:r>
          </w:p>
        </w:tc>
        <w:tc>
          <w:tcPr>
            <w:tcW w:w="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5E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98.000%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3E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信息完整交接单数 ÷ 交接单总数（交接双方、时间、件数、温度、标本类型等必填项齐全）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5A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06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55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96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9F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66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纸质/</w:t>
            </w:r>
          </w:p>
          <w:p w14:paraId="6F910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电子交接签收单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77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18C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000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D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kern w:val="0"/>
                <w:sz w:val="22"/>
                <w:szCs w:val="22"/>
                <w:u w:val="none"/>
                <w:lang w:val="en-US" w:eastAsia="zh-CN" w:bidi="ar"/>
              </w:rPr>
              <w:t>综合得分（满分100分）：</w:t>
            </w:r>
          </w:p>
        </w:tc>
      </w:tr>
      <w:tr w14:paraId="695DB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3655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72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月度评定等级：</w:t>
            </w:r>
            <w:bookmarkStart w:id="0" w:name="_GoBack"/>
            <w:bookmarkEnd w:id="0"/>
          </w:p>
        </w:tc>
        <w:tc>
          <w:tcPr>
            <w:tcW w:w="134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3D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900" w:hanging="900" w:hangingChars="50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18"/>
                <w:szCs w:val="18"/>
                <w:u w:val="none"/>
                <w:lang w:val="en-US" w:eastAsia="zh-CN" w:bidi="ar"/>
              </w:rPr>
              <w:t>等级标准：优秀≥95 / 良好≥90 / 合格≥80 / 不合格&lt;80</w:t>
            </w:r>
          </w:p>
        </w:tc>
      </w:tr>
      <w:tr w14:paraId="35CBF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BD0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2"/>
                <w:szCs w:val="22"/>
                <w:u w:val="none"/>
                <w:lang w:val="en-US" w:eastAsia="zh-CN" w:bidi="ar"/>
              </w:rPr>
              <w:t>本月主要问题与改进要求：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2"/>
                <w:szCs w:val="22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2"/>
                <w:szCs w:val="22"/>
                <w:u w:val="none"/>
                <w:lang w:val="en-US" w:eastAsia="zh-CN" w:bidi="ar"/>
              </w:rPr>
              <w:t>3.</w:t>
            </w:r>
          </w:p>
        </w:tc>
      </w:tr>
      <w:tr w14:paraId="0DA53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ED7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813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5000" w:type="pct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E64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3B6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</w:trPr>
        <w:tc>
          <w:tcPr>
            <w:tcW w:w="171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BE84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被考核单位负责人（签字）：</w:t>
            </w:r>
          </w:p>
        </w:tc>
        <w:tc>
          <w:tcPr>
            <w:tcW w:w="156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A7EE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考核人（签字）：</w:t>
            </w:r>
          </w:p>
        </w:tc>
        <w:tc>
          <w:tcPr>
            <w:tcW w:w="172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ED4E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审核人（签字）：</w:t>
            </w:r>
          </w:p>
        </w:tc>
      </w:tr>
    </w:tbl>
    <w:p w14:paraId="2C76BE19">
      <w:pPr>
        <w:rPr>
          <w:rFonts w:hint="eastAsia" w:ascii="仿宋" w:hAnsi="仿宋" w:eastAsia="仿宋" w:cs="仿宋"/>
          <w:sz w:val="28"/>
          <w:szCs w:val="28"/>
        </w:rPr>
      </w:pPr>
    </w:p>
    <w:sectPr>
      <w:footerReference r:id="rId5" w:type="default"/>
      <w:pgSz w:w="11906" w:h="16838"/>
      <w:pgMar w:top="1247" w:right="1134" w:bottom="1134" w:left="1134" w:header="680" w:footer="68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Inte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A0600">
    <w:pPr>
      <w:pStyle w:val="25"/>
      <w:jc w:val="center"/>
    </w:pPr>
    <w:r>
      <w:rPr>
        <w:rFonts w:ascii="宋体" w:hAnsi="宋体" w:eastAsia="宋体"/>
        <w:b w:val="0"/>
        <w:color w:val="666666"/>
        <w:sz w:val="18"/>
      </w:rPr>
      <w:t xml:space="preserve">第 </w:t>
    </w:r>
    <w:r>
      <w:rPr>
        <w:rFonts w:ascii="宋体" w:hAnsi="宋体" w:eastAsia="宋体"/>
        <w:b w:val="0"/>
        <w:color w:val="666666"/>
        <w:sz w:val="18"/>
      </w:rPr>
      <w:fldChar w:fldCharType="begin"/>
    </w:r>
    <w:r>
      <w:rPr>
        <w:rFonts w:ascii="宋体" w:hAnsi="宋体" w:eastAsia="宋体"/>
        <w:b w:val="0"/>
        <w:color w:val="666666"/>
        <w:sz w:val="18"/>
      </w:rPr>
      <w:instrText xml:space="preserve">PAGE</w:instrText>
    </w:r>
    <w:r>
      <w:rPr>
        <w:rFonts w:ascii="宋体" w:hAnsi="宋体" w:eastAsia="宋体"/>
        <w:b w:val="0"/>
        <w:color w:val="666666"/>
        <w:sz w:val="18"/>
      </w:rPr>
      <w:fldChar w:fldCharType="end"/>
    </w:r>
    <w:r>
      <w:rPr>
        <w:rFonts w:ascii="宋体" w:hAnsi="宋体" w:eastAsia="宋体"/>
        <w:b w:val="0"/>
        <w:color w:val="666666"/>
        <w:sz w:val="18"/>
      </w:rPr>
      <w:t xml:space="preserve"> 页 / 共 </w:t>
    </w:r>
    <w:r>
      <w:rPr>
        <w:rFonts w:ascii="宋体" w:hAnsi="宋体" w:eastAsia="宋体"/>
        <w:b w:val="0"/>
        <w:color w:val="666666"/>
        <w:sz w:val="18"/>
      </w:rPr>
      <w:fldChar w:fldCharType="begin"/>
    </w:r>
    <w:r>
      <w:rPr>
        <w:rFonts w:ascii="宋体" w:hAnsi="宋体" w:eastAsia="宋体"/>
        <w:b w:val="0"/>
        <w:color w:val="666666"/>
        <w:sz w:val="18"/>
      </w:rPr>
      <w:instrText xml:space="preserve">NUMPAGES</w:instrText>
    </w:r>
    <w:r>
      <w:rPr>
        <w:rFonts w:ascii="宋体" w:hAnsi="宋体" w:eastAsia="宋体"/>
        <w:b w:val="0"/>
        <w:color w:val="666666"/>
        <w:sz w:val="18"/>
      </w:rPr>
      <w:fldChar w:fldCharType="end"/>
    </w:r>
    <w:r>
      <w:rPr>
        <w:rFonts w:ascii="宋体" w:hAnsi="宋体" w:eastAsia="宋体"/>
        <w:b w:val="0"/>
        <w:color w:val="666666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72" w:lineRule="auto"/>
      </w:pPr>
      <w:r>
        <w:separator/>
      </w:r>
    </w:p>
  </w:footnote>
  <w:footnote w:type="continuationSeparator" w:id="1">
    <w:p>
      <w:pPr>
        <w:spacing w:before="0" w:after="0" w:line="37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A02AC4"/>
    <w:rsid w:val="13265457"/>
    <w:rsid w:val="14B66873"/>
    <w:rsid w:val="1B047794"/>
    <w:rsid w:val="1E9B615F"/>
    <w:rsid w:val="214F751D"/>
    <w:rsid w:val="22B73F52"/>
    <w:rsid w:val="32F73203"/>
    <w:rsid w:val="34416E05"/>
    <w:rsid w:val="351108E1"/>
    <w:rsid w:val="394C61B4"/>
    <w:rsid w:val="397362A2"/>
    <w:rsid w:val="3F214BBB"/>
    <w:rsid w:val="4E80492F"/>
    <w:rsid w:val="50A47CAB"/>
    <w:rsid w:val="573B20AE"/>
    <w:rsid w:val="5B4D2649"/>
    <w:rsid w:val="5EF84450"/>
    <w:rsid w:val="61C86549"/>
    <w:rsid w:val="65330746"/>
    <w:rsid w:val="766F1524"/>
    <w:rsid w:val="7A46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72" w:lineRule="auto"/>
    </w:pPr>
    <w:rPr>
      <w:rFonts w:ascii="宋体" w:hAnsi="宋体" w:eastAsia="宋体" w:cstheme="minorBidi"/>
      <w:color w:val="1A1A1A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20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5">
    <w:name w:val="font21"/>
    <w:basedOn w:val="133"/>
    <w:qFormat/>
    <w:uiPriority w:val="0"/>
    <w:rPr>
      <w:rFonts w:hint="eastAsia" w:ascii="仿宋" w:hAnsi="仿宋" w:eastAsia="仿宋" w:cs="仿宋"/>
      <w:b/>
      <w:bCs/>
      <w:color w:val="000000"/>
      <w:sz w:val="20"/>
      <w:szCs w:val="20"/>
      <w:u w:val="none"/>
    </w:rPr>
  </w:style>
  <w:style w:type="character" w:customStyle="1" w:styleId="166">
    <w:name w:val="font101"/>
    <w:basedOn w:val="133"/>
    <w:qFormat/>
    <w:uiPriority w:val="0"/>
    <w:rPr>
      <w:rFonts w:hint="eastAsia" w:ascii="仿宋" w:hAnsi="仿宋" w:eastAsia="仿宋" w:cs="仿宋"/>
      <w:b/>
      <w:bCs/>
      <w:color w:val="000000"/>
      <w:sz w:val="20"/>
      <w:szCs w:val="20"/>
      <w:u w:val="none"/>
    </w:rPr>
  </w:style>
  <w:style w:type="character" w:customStyle="1" w:styleId="167">
    <w:name w:val="font61"/>
    <w:basedOn w:val="133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68">
    <w:name w:val="font51"/>
    <w:basedOn w:val="133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69">
    <w:name w:val="font81"/>
    <w:basedOn w:val="133"/>
    <w:qFormat/>
    <w:uiPriority w:val="0"/>
    <w:rPr>
      <w:rFonts w:hint="eastAsia" w:ascii="仿宋" w:hAnsi="仿宋" w:eastAsia="仿宋" w:cs="仿宋"/>
      <w:b/>
      <w:bCs/>
      <w:color w:val="000000"/>
      <w:sz w:val="22"/>
      <w:szCs w:val="22"/>
      <w:u w:val="none"/>
    </w:rPr>
  </w:style>
  <w:style w:type="character" w:customStyle="1" w:styleId="170">
    <w:name w:val="font71"/>
    <w:basedOn w:val="133"/>
    <w:qFormat/>
    <w:uiPriority w:val="0"/>
    <w:rPr>
      <w:rFonts w:hint="eastAsia" w:ascii="仿宋" w:hAnsi="仿宋" w:eastAsia="仿宋" w:cs="仿宋"/>
      <w:b/>
      <w:bCs/>
      <w:color w:val="000000"/>
      <w:sz w:val="22"/>
      <w:szCs w:val="22"/>
      <w:u w:val="none"/>
    </w:rPr>
  </w:style>
  <w:style w:type="character" w:customStyle="1" w:styleId="171">
    <w:name w:val="font91"/>
    <w:basedOn w:val="133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172">
    <w:name w:val="font112"/>
    <w:basedOn w:val="133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2129</Words>
  <Characters>2214</Characters>
  <Lines>0</Lines>
  <Paragraphs>0</Paragraphs>
  <TotalTime>35</TotalTime>
  <ScaleCrop>false</ScaleCrop>
  <LinksUpToDate>false</LinksUpToDate>
  <CharactersWithSpaces>2373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emmm....</cp:lastModifiedBy>
  <dcterms:modified xsi:type="dcterms:W3CDTF">2026-10-14T08:16:06Z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{"Label":"1","ContentProducer":"001191440300708461136T1WFUO","ProduceID":"b0bcc6764b2da9ff7949bc72ad41565a-qGiU","ReservedCode1":"{\"Type\":\" TC260PG\",\"Version\":1,\"Bindings\":[{\"Type\":\"soft\",\"AlgID\":\"sm3\",\"Value\":\"64b5060236723ff184738740c08b306d4362c53affa8e85f8654147f15dfe8ab\"},{\"Type\":\"hash\",\"AlgID\":\"sm3\",\"Value\":\"11cfe011df1f05248d58d54599f19c68dbe1f101108db3e8a643ef11fa6d8dc5\"}],\"PubSD\":[{\"Type\":\"DS\",\"AlgID\":\"sm2\",\"TBSData\":{\"Type\":\"Binding\",\"BType\":\"hash\"},\"Signature\":\"30440220471a87904979325c6e1542c068b42d9c32743cbe22a5d634e11a614d9aa2b9ba02203b6aba16313426df0fd09acaf4931c88b4558749d441d50dd4134792749db2cb\"},{\"Type\":\"PubKey\",\"AlgID\":\"sm2\",\"KeyValue\":\"0407f79b28a17a752b3aae4305c98b48978213832729a2571850b1310b2bc9fe8fee039ccf25ebfeac27502414d9fcef792d777183c98893d226171c2f7a3289a2\"}],\"Extension\":{\"Timestamp\":1790846163,\"KeyVersion\":\"v1-TxLeOmf7bqU223\"}}","ContentPropagator":"001191440300708461136T1WFUO","PropagateID":"b0bcc6764b2da9ff7949bc72ad41565a-qGiU","ReservedCode2":"{\"Type\":\" TC260PG\",\"Version\":1,\"Bindings\":[{\"Type\":\"soft\",\"AlgID\":\"sm3\",\"Value\":\"64b5060236723ff184738740c08b306d4362c53affa8e85f8654147f15dfe8ab\"},{\"Type\":\"hash\",\"AlgID\":\"sm3\",\"Value\":\"11cfe011df1f05248d58d54599f19c68dbe1f101108db3e8a643ef11fa6d8dc5\"}],\"PubSD\":[{\"Type\":\"DS\",\"AlgID\":\"sm2\",\"TBSData\":{\"Type\":\"Binding\",\"BType\":\"hash\"},\"Signature\":\"3045022100e05894d1fbbb0cd16c63861ce82568adfdb15991c2e015db64267dd82798dc2c022019433745bb1c1993e2a17d96da82dd04d1df4ce93a425cfeaab4e9a3256d9d09\"},{\"Type\":\"PubKey\",\"AlgID\":\"sm2\",\"KeyValue\":\"0407f79b28a17a752b3aae4305c98b48978213832729a2571850b1310b2bc9fe8fee039ccf25ebfeac27502414d9fcef792d777183c98893d226171c2f7a3289a2\"}],\"Extension\":{\"Timestamp\":1790846163,\"KeyVersion\":\"v1-TxLeOmf7bqU223\"}}"}</vt:lpwstr>
  </property>
  <property fmtid="{D5CDD505-2E9C-101B-9397-08002B2CF9AE}" pid="3" name="KSOTemplateDocerSaveRecord">
    <vt:lpwstr>eyJoZGlkIjoiZWI5OWNlYTJlOTg0ODE4ODdlZThmNzEzNDE1MTY2ZTkiLCJ1c2VySWQiOiIzNjY2MDQwODMifQ==</vt:lpwstr>
  </property>
  <property fmtid="{D5CDD505-2E9C-101B-9397-08002B2CF9AE}" pid="4" name="KSOProductBuildVer">
    <vt:lpwstr>2052-12.1.0.28505</vt:lpwstr>
  </property>
  <property fmtid="{D5CDD505-2E9C-101B-9397-08002B2CF9AE}" pid="5" name="ICV">
    <vt:lpwstr>EE79B2F77DCD4849817D3ED613A3F898_13</vt:lpwstr>
  </property>
</Properties>
</file>