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EA83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/>
        <w:jc w:val="both"/>
        <w:rPr>
          <w:rStyle w:val="10"/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auto"/>
          <w:spacing w:val="0"/>
          <w:sz w:val="30"/>
          <w:szCs w:val="30"/>
          <w:shd w:val="clear" w:color="auto" w:fill="auto"/>
          <w:lang w:val="en-US" w:eastAsia="zh-CN"/>
        </w:rPr>
      </w:pPr>
      <w:r>
        <w:rPr>
          <w:rStyle w:val="10"/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auto"/>
          <w:spacing w:val="0"/>
          <w:sz w:val="30"/>
          <w:szCs w:val="30"/>
          <w:shd w:val="clear" w:color="auto" w:fill="auto"/>
          <w:lang w:val="en-US" w:eastAsia="zh-CN"/>
        </w:rPr>
        <w:t>附件一：</w:t>
      </w:r>
    </w:p>
    <w:p w14:paraId="5C77909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/>
        <w:jc w:val="center"/>
        <w:rPr>
          <w:rStyle w:val="10"/>
          <w:rFonts w:hint="default" w:asciiTheme="majorEastAsia" w:hAnsiTheme="majorEastAsia" w:eastAsiaTheme="majorEastAsia" w:cstheme="majorEastAsia"/>
          <w:i w:val="0"/>
          <w:caps w:val="0"/>
          <w:color w:val="auto"/>
          <w:spacing w:val="0"/>
          <w:sz w:val="44"/>
          <w:szCs w:val="44"/>
          <w:shd w:val="clear" w:color="auto" w:fill="auto"/>
          <w:lang w:val="en-US" w:eastAsia="zh-CN"/>
        </w:rPr>
      </w:pPr>
      <w:r>
        <w:rPr>
          <w:rStyle w:val="10"/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44"/>
          <w:szCs w:val="44"/>
          <w:shd w:val="clear" w:color="auto" w:fill="auto"/>
        </w:rPr>
        <w:t>萧县人民医院</w:t>
      </w:r>
      <w:r>
        <w:rPr>
          <w:rStyle w:val="10"/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44"/>
          <w:szCs w:val="44"/>
          <w:shd w:val="clear" w:color="auto" w:fill="auto"/>
          <w:lang w:val="en-US" w:eastAsia="zh-CN"/>
        </w:rPr>
        <w:t>紧密型医共体标本转运服务</w:t>
      </w:r>
    </w:p>
    <w:p w14:paraId="1C2423E3">
      <w:pPr>
        <w:ind w:firstLine="2209" w:firstLineChars="500"/>
        <w:rPr>
          <w:rStyle w:val="10"/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44"/>
          <w:szCs w:val="44"/>
          <w:shd w:val="clear" w:color="auto" w:fill="auto"/>
          <w:lang w:val="en-US" w:eastAsia="zh-CN"/>
        </w:rPr>
      </w:pPr>
      <w:r>
        <w:rPr>
          <w:rStyle w:val="10"/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44"/>
          <w:szCs w:val="44"/>
          <w:shd w:val="clear" w:color="auto" w:fill="auto"/>
          <w:lang w:val="en-US" w:eastAsia="zh-CN"/>
        </w:rPr>
        <w:t>采购</w:t>
      </w:r>
      <w:r>
        <w:rPr>
          <w:rStyle w:val="10"/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44"/>
          <w:szCs w:val="44"/>
          <w:shd w:val="clear" w:color="auto" w:fill="auto"/>
          <w:lang w:eastAsia="zh-CN"/>
        </w:rPr>
        <w:t>项目</w:t>
      </w:r>
      <w:r>
        <w:rPr>
          <w:rStyle w:val="10"/>
          <w:rFonts w:hint="eastAsia" w:asciiTheme="majorEastAsia" w:hAnsiTheme="majorEastAsia" w:eastAsiaTheme="majorEastAsia" w:cstheme="majorEastAsia"/>
          <w:i w:val="0"/>
          <w:caps w:val="0"/>
          <w:color w:val="auto"/>
          <w:spacing w:val="0"/>
          <w:sz w:val="44"/>
          <w:szCs w:val="44"/>
          <w:shd w:val="clear" w:color="auto" w:fill="auto"/>
          <w:lang w:val="en-US" w:eastAsia="zh-CN"/>
        </w:rPr>
        <w:t>技术要求</w:t>
      </w:r>
    </w:p>
    <w:p w14:paraId="1DFE2871">
      <w:pPr>
        <w:pStyle w:val="2"/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转运范围与频次：</w:t>
      </w:r>
      <w:r>
        <w:rPr>
          <w:rFonts w:hint="eastAsia" w:ascii="仿宋" w:hAnsi="仿宋" w:eastAsia="仿宋" w:cs="仿宋"/>
          <w:sz w:val="28"/>
          <w:szCs w:val="28"/>
        </w:rPr>
        <w:t>覆盖医共体共17家成员单位；根据需要每周班次约 3-6次，覆盖全部成员单位；</w:t>
      </w:r>
    </w:p>
    <w:p w14:paraId="488EA848">
      <w:pPr>
        <w:pStyle w:val="2"/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时限要求：</w:t>
      </w:r>
      <w:r>
        <w:rPr>
          <w:rFonts w:hint="eastAsia" w:ascii="仿宋" w:hAnsi="仿宋" w:eastAsia="仿宋" w:cs="仿宋"/>
          <w:sz w:val="28"/>
          <w:szCs w:val="28"/>
        </w:rPr>
        <w:t xml:space="preserve">常规标本自收取至送达检验科不超过6小时；标本自采集至送达的总时长须满足各类检验项目的稳定性要求（生 化、免疫、血常规、凝血、血培养等分类明确），月度时效达标 率 ≥98%。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3. 温控与冷链：</w:t>
      </w:r>
      <w:r>
        <w:rPr>
          <w:rFonts w:hint="eastAsia" w:ascii="仿宋" w:hAnsi="仿宋" w:eastAsia="仿宋" w:cs="仿宋"/>
          <w:sz w:val="28"/>
          <w:szCs w:val="28"/>
        </w:rPr>
        <w:t>配备医用冷藏（保温）箱或车载冷藏设备，实现分区温控：冷藏、冷冻、常温；全程温度自动采集、实时记录并可导出，温度超限自动报警；按标本类型配备蓄冷剂、冰袋 或保温材料，不得出现标本冻融、溶血、变质。</w:t>
      </w:r>
    </w:p>
    <w:p w14:paraId="4DAF144E"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包装与生物安全：</w:t>
      </w:r>
      <w:r>
        <w:rPr>
          <w:rFonts w:hint="eastAsia" w:ascii="仿宋" w:hAnsi="仿宋" w:eastAsia="仿宋" w:cs="仿宋"/>
          <w:sz w:val="28"/>
          <w:szCs w:val="28"/>
        </w:rPr>
        <w:t xml:space="preserve">采用符合UN3373（B 类感染性物质）要求的三重包装系统（主容器+辅助容器+外包装），防漏、防破损、防震，内置吸水材料并规范粘贴生物危险标识；随车配备溢洒应 急处置箱（含含氯消毒剂、一次性手套、吸附材料、医疗废物 袋、锐器盒）；运输过程遵守《病原微生物实验室生物安全管理 条例》及相关样本运输管理规定。 </w:t>
      </w:r>
    </w:p>
    <w:p w14:paraId="0399F716"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5、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人员要求：</w:t>
      </w:r>
      <w:r>
        <w:rPr>
          <w:rFonts w:hint="eastAsia" w:ascii="仿宋" w:hAnsi="仿宋" w:eastAsia="仿宋" w:cs="仿宋"/>
          <w:sz w:val="28"/>
          <w:szCs w:val="28"/>
        </w:rPr>
        <w:t>转运人员须持有相应驾驶资格与健康证明，上岗前接受生物安全、职业防护、标本交接、应急预案培训并考核合格，统一着装、佩戴工作证件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314939D3"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6、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车辆与设备</w:t>
      </w:r>
      <w:r>
        <w:rPr>
          <w:rFonts w:hint="eastAsia" w:ascii="仿宋" w:hAnsi="仿宋" w:eastAsia="仿宋" w:cs="仿宋"/>
          <w:sz w:val="28"/>
          <w:szCs w:val="28"/>
        </w:rPr>
        <w:t>：投入专用转运车辆并配备应急备用车，车况良好、 车龄符合安全要求，车厢专用、不得与有毒有害物品、食品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活禽等混装；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定期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消毒并记录，</w:t>
      </w:r>
      <w:r>
        <w:rPr>
          <w:rFonts w:hint="eastAsia" w:ascii="仿宋" w:hAnsi="仿宋" w:eastAsia="仿宋" w:cs="仿宋"/>
          <w:sz w:val="28"/>
          <w:szCs w:val="28"/>
        </w:rPr>
        <w:t xml:space="preserve">车辆故障或事故时备用车 60 分钟内到位。 </w:t>
      </w:r>
    </w:p>
    <w:p w14:paraId="3ECD56F4">
      <w:pPr>
        <w:pStyle w:val="6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7、进场前须提交车辆行驶证、驾驶员驾驶证、人员健康证、道路货</w:t>
      </w:r>
    </w:p>
    <w:p w14:paraId="21CACA18">
      <w:pPr>
        <w:pStyle w:val="6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物运输许可证等复印件备案。 </w:t>
      </w:r>
    </w:p>
    <w:p w14:paraId="6B935EA9"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8、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交接追溯：</w:t>
      </w:r>
      <w:r>
        <w:rPr>
          <w:rFonts w:hint="eastAsia" w:ascii="仿宋" w:hAnsi="仿宋" w:eastAsia="仿宋" w:cs="仿宋"/>
          <w:sz w:val="28"/>
          <w:szCs w:val="28"/>
        </w:rPr>
        <w:t xml:space="preserve">实现"收样—送达—签收"全流程留痕，交接信息含标本数量、类型、双方签字；温度记录、交接单据至少保存 3 年 备查。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. 质量控制指标</w:t>
      </w:r>
      <w:r>
        <w:rPr>
          <w:rFonts w:hint="eastAsia" w:ascii="仿宋" w:hAnsi="仿宋" w:eastAsia="仿宋" w:cs="仿宋"/>
          <w:sz w:val="28"/>
          <w:szCs w:val="28"/>
        </w:rPr>
        <w:t>：月度考核时效达标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 xml:space="preserve">率 ≥98%、温度达标率 100%、 标本完好率 ≥99.9%、交接信息完整率 100%，并提供运行报表。 </w:t>
      </w:r>
    </w:p>
    <w:p w14:paraId="21F86849"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. 责任：</w:t>
      </w:r>
      <w:r>
        <w:rPr>
          <w:rFonts w:hint="eastAsia" w:ascii="仿宋" w:hAnsi="仿宋" w:eastAsia="仿宋" w:cs="仿宋"/>
          <w:sz w:val="28"/>
          <w:szCs w:val="28"/>
        </w:rPr>
        <w:t>因包装、温控、延误、丢失等转运环节原因导致标本失 效、检验延误或生物安全事件的，由服务方承担相应责任并无 偿补救，造成损失的按合同约定赔偿。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0C3BD2"/>
    <w:multiLevelType w:val="singleLevel"/>
    <w:tmpl w:val="680C3BD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0A0B13"/>
    <w:rsid w:val="5BD07451"/>
    <w:rsid w:val="7862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6"/>
    <w:qFormat/>
    <w:uiPriority w:val="0"/>
    <w:pPr>
      <w:spacing w:after="120" w:afterLines="0" w:line="240" w:lineRule="auto"/>
      <w:ind w:left="420" w:leftChars="200"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45"/>
    </w:pPr>
    <w:rPr>
      <w:rFonts w:ascii="Arial" w:hAnsi="Arial" w:eastAsia="仿宋_GB2312"/>
      <w:sz w:val="28"/>
    </w:rPr>
  </w:style>
  <w:style w:type="paragraph" w:styleId="4">
    <w:name w:val="envelope return"/>
    <w:basedOn w:val="1"/>
    <w:next w:val="5"/>
    <w:qFormat/>
    <w:uiPriority w:val="0"/>
    <w:pPr>
      <w:snapToGrid w:val="0"/>
    </w:pPr>
    <w:rPr>
      <w:rFonts w:ascii="Arial" w:hAnsi="Arial" w:cs="Arial"/>
      <w:sz w:val="21"/>
      <w:szCs w:val="24"/>
    </w:rPr>
  </w:style>
  <w:style w:type="paragraph" w:styleId="5">
    <w:name w:val="toc 7"/>
    <w:basedOn w:val="1"/>
    <w:next w:val="1"/>
    <w:semiHidden/>
    <w:qFormat/>
    <w:uiPriority w:val="0"/>
    <w:pPr>
      <w:ind w:left="1260"/>
      <w:jc w:val="left"/>
    </w:pPr>
    <w:rPr>
      <w:rFonts w:ascii="Times New Roman" w:hAnsi="Times New Roman"/>
      <w:szCs w:val="21"/>
    </w:rPr>
  </w:style>
  <w:style w:type="paragraph" w:styleId="6">
    <w:name w:val="List"/>
    <w:basedOn w:val="1"/>
    <w:qFormat/>
    <w:uiPriority w:val="0"/>
    <w:pPr>
      <w:ind w:left="200" w:hanging="200" w:hangingChars="200"/>
    </w:pPr>
    <w:rPr>
      <w:rFonts w:ascii="Calibri" w:hAnsi="Calibri" w:eastAsia="宋体" w:cs="Times New Roman"/>
      <w:szCs w:val="22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803</Words>
  <Characters>830</Characters>
  <Lines>0</Lines>
  <Paragraphs>0</Paragraphs>
  <TotalTime>4</TotalTime>
  <ScaleCrop>false</ScaleCrop>
  <LinksUpToDate>false</LinksUpToDate>
  <CharactersWithSpaces>862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2026-10-14T00:34:00Z</dcterms:created>
  <dc:creator>何院长</dc:creator>
  <cp:lastModifiedBy>桐翊</cp:lastModifiedBy>
  <dcterms:modified xsi:type="dcterms:W3CDTF">2026-10-14T02:08:15Z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eyJoZGlkIjoiZWZlOGNjYjRiODUwMzliMjBmMjRjOWFiODZmNGIxNTUiLCJ1c2VySWQiOiI0NjMzNzQxNjcifQ==</vt:lpwstr>
  </property>
  <property fmtid="{D5CDD505-2E9C-101B-9397-08002B2CF9AE}" pid="4" name="ICV">
    <vt:lpwstr>2A21C2E2DCB54B1C8F0B3449A7CB20BA_12</vt:lpwstr>
  </property>
</Properties>
</file>