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F27654">
      <w:pPr>
        <w:spacing w:before="0" w:after="480" w:line="720" w:lineRule="exact"/>
        <w:jc w:val="center"/>
      </w:pPr>
      <w:r>
        <w:rPr>
          <w:rFonts w:hint="eastAsia" w:ascii="Times New Roman" w:hAnsi="Times New Roman" w:eastAsia="黑体"/>
          <w:b/>
          <w:sz w:val="44"/>
        </w:rPr>
        <w:t>萧县人民医院危险废物委托收集处置项目</w:t>
      </w:r>
      <w:r>
        <w:rPr>
          <w:rFonts w:ascii="Times New Roman" w:hAnsi="Times New Roman" w:eastAsia="黑体"/>
          <w:b/>
          <w:sz w:val="44"/>
        </w:rPr>
        <w:t>合同</w:t>
      </w:r>
    </w:p>
    <w:p w14:paraId="56FD0036">
      <w:pPr>
        <w:wordWrap w:val="0"/>
        <w:spacing w:before="0" w:after="240"/>
        <w:jc w:val="right"/>
        <w:rPr>
          <w:rFonts w:hint="default" w:eastAsia="宋体"/>
          <w:lang w:val="en-US" w:eastAsia="zh-CN"/>
        </w:rPr>
      </w:pPr>
      <w:r>
        <w:rPr>
          <w:rFonts w:ascii="Times New Roman" w:hAnsi="Times New Roman" w:eastAsia="宋体"/>
          <w:b w:val="0"/>
          <w:sz w:val="24"/>
        </w:rPr>
        <w:t>合同编号：</w:t>
      </w:r>
      <w:r>
        <w:rPr>
          <w:rFonts w:hint="eastAsia" w:ascii="Times New Roman" w:hAnsi="Times New Roman" w:eastAsia="宋体"/>
          <w:b w:val="0"/>
          <w:sz w:val="24"/>
          <w:lang w:val="en-US" w:eastAsia="zh-CN"/>
        </w:rPr>
        <w:t xml:space="preserve">                       </w:t>
      </w:r>
    </w:p>
    <w:p w14:paraId="68F16322">
      <w:pPr>
        <w:spacing w:before="120" w:after="120" w:line="560" w:lineRule="exact"/>
        <w:jc w:val="left"/>
      </w:pPr>
      <w:r>
        <w:rPr>
          <w:rFonts w:ascii="Times New Roman" w:hAnsi="Times New Roman" w:eastAsia="宋体"/>
          <w:b/>
          <w:sz w:val="24"/>
        </w:rPr>
        <w:t>甲方（委托方）：</w:t>
      </w:r>
      <w:r>
        <w:rPr>
          <w:rFonts w:ascii="Times New Roman" w:hAnsi="Times New Roman" w:eastAsia="宋体"/>
          <w:b w:val="0"/>
          <w:sz w:val="24"/>
        </w:rPr>
        <w:t>萧县人民医院</w:t>
      </w:r>
    </w:p>
    <w:p w14:paraId="4AFC7C4F">
      <w:pPr>
        <w:spacing w:before="60" w:after="240" w:line="560" w:lineRule="exact"/>
        <w:jc w:val="left"/>
      </w:pPr>
      <w:r>
        <w:rPr>
          <w:rFonts w:ascii="Times New Roman" w:hAnsi="Times New Roman" w:eastAsia="宋体"/>
          <w:b/>
          <w:sz w:val="24"/>
        </w:rPr>
        <w:t>乙方（受托方）：</w:t>
      </w:r>
    </w:p>
    <w:p w14:paraId="2684F1F5">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val="0"/>
          <w:sz w:val="24"/>
        </w:rPr>
        <w:t>鉴于甲方在日常医疗诊疗、医学检验、药品调剂及后勤保障过程中产生危险废物，为规范危险废物的收集与处置，防止环境污染，保障公众健康，根据《中华人民共和国固体废物污染环境防治法》《危险废物贮存污染控制标准》《危险废物转移联单管理办法》及国家相关法律法规的规定，甲乙双方本着平等、自愿、诚实信用的原则，就甲方委托乙方收集、运输及处置危险废物事宜，经友好协商，达成如下协议，以资共同遵守。</w:t>
      </w:r>
    </w:p>
    <w:p w14:paraId="38078B55">
      <w:pPr>
        <w:keepNext w:val="0"/>
        <w:keepLines w:val="0"/>
        <w:pageBreakBefore w:val="0"/>
        <w:widowControl/>
        <w:kinsoku/>
        <w:wordWrap/>
        <w:overflowPunct/>
        <w:topLinePunct w:val="0"/>
        <w:autoSpaceDE/>
        <w:autoSpaceDN/>
        <w:bidi w:val="0"/>
        <w:adjustRightInd/>
        <w:snapToGrid/>
        <w:spacing w:after="0" w:line="360" w:lineRule="auto"/>
        <w:jc w:val="left"/>
        <w:textAlignment w:val="auto"/>
      </w:pPr>
      <w:r>
        <w:rPr>
          <w:rFonts w:ascii="Times New Roman" w:hAnsi="Times New Roman" w:eastAsia="黑体"/>
          <w:b/>
          <w:sz w:val="28"/>
        </w:rPr>
        <w:t>第一条  危险废物处置内容和标准</w:t>
      </w:r>
    </w:p>
    <w:p w14:paraId="2833813C">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rPr>
          <w:rFonts w:ascii="Times New Roman" w:hAnsi="Times New Roman" w:eastAsia="宋体"/>
          <w:b/>
          <w:sz w:val="24"/>
        </w:rPr>
      </w:pPr>
      <w:r>
        <w:rPr>
          <w:rFonts w:ascii="Times New Roman" w:hAnsi="Times New Roman" w:eastAsia="宋体"/>
          <w:b/>
          <w:sz w:val="24"/>
        </w:rPr>
        <w:t>1.1  废物种类及明细</w:t>
      </w:r>
    </w:p>
    <w:p w14:paraId="7E2C9B29">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val="0"/>
          <w:sz w:val="24"/>
        </w:rPr>
        <w:t>甲方委托乙方收集并处置的危险废物主要来源于检验科、药房、实验室等，具体明细如下：</w:t>
      </w:r>
    </w:p>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80"/>
        <w:gridCol w:w="1984"/>
        <w:gridCol w:w="1701"/>
        <w:gridCol w:w="1984"/>
        <w:gridCol w:w="1417"/>
      </w:tblGrid>
      <w:tr w14:paraId="5BCE5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shd w:val="clear" w:color="auto" w:fill="auto"/>
          </w:tcPr>
          <w:p w14:paraId="2CC58A64">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Times New Roman" w:hAnsi="Times New Roman" w:eastAsia="黑体"/>
                <w:b/>
                <w:sz w:val="22"/>
              </w:rPr>
              <w:t>序号</w:t>
            </w:r>
          </w:p>
        </w:tc>
        <w:tc>
          <w:tcPr>
            <w:tcW w:w="1984" w:type="dxa"/>
            <w:shd w:val="clear" w:color="auto" w:fill="auto"/>
          </w:tcPr>
          <w:p w14:paraId="2B83DC37">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Times New Roman" w:hAnsi="Times New Roman" w:eastAsia="黑体"/>
                <w:b/>
                <w:sz w:val="22"/>
              </w:rPr>
              <w:t>废物名称</w:t>
            </w:r>
          </w:p>
        </w:tc>
        <w:tc>
          <w:tcPr>
            <w:tcW w:w="1701" w:type="dxa"/>
            <w:shd w:val="clear" w:color="auto" w:fill="auto"/>
          </w:tcPr>
          <w:p w14:paraId="531D52CF">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Times New Roman" w:hAnsi="Times New Roman" w:eastAsia="黑体"/>
                <w:b/>
                <w:sz w:val="22"/>
              </w:rPr>
              <w:t>危险废物类别</w:t>
            </w:r>
          </w:p>
        </w:tc>
        <w:tc>
          <w:tcPr>
            <w:tcW w:w="1984" w:type="dxa"/>
            <w:shd w:val="clear" w:color="auto" w:fill="auto"/>
          </w:tcPr>
          <w:p w14:paraId="0331D6CD">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Times New Roman" w:hAnsi="Times New Roman" w:eastAsia="黑体"/>
                <w:b/>
                <w:sz w:val="22"/>
              </w:rPr>
              <w:t>危险废物代码</w:t>
            </w:r>
          </w:p>
        </w:tc>
        <w:tc>
          <w:tcPr>
            <w:tcW w:w="1417" w:type="dxa"/>
            <w:shd w:val="clear" w:color="auto" w:fill="auto"/>
          </w:tcPr>
          <w:p w14:paraId="434E1A06">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Times New Roman" w:hAnsi="Times New Roman" w:eastAsia="黑体"/>
                <w:b/>
                <w:sz w:val="22"/>
              </w:rPr>
              <w:t>备注</w:t>
            </w:r>
          </w:p>
        </w:tc>
      </w:tr>
      <w:tr w14:paraId="4470F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tcPr>
          <w:p w14:paraId="5F3F0224">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Times New Roman" w:hAnsi="Times New Roman" w:eastAsia="宋体"/>
                <w:b w:val="0"/>
                <w:sz w:val="22"/>
              </w:rPr>
              <w:t>1</w:t>
            </w:r>
          </w:p>
        </w:tc>
        <w:tc>
          <w:tcPr>
            <w:tcW w:w="1984" w:type="dxa"/>
          </w:tcPr>
          <w:p w14:paraId="2BDC0249">
            <w:pPr>
              <w:keepNext w:val="0"/>
              <w:keepLines w:val="0"/>
              <w:pageBreakBefore w:val="0"/>
              <w:widowControl/>
              <w:kinsoku/>
              <w:wordWrap/>
              <w:overflowPunct/>
              <w:topLinePunct w:val="0"/>
              <w:autoSpaceDE/>
              <w:autoSpaceDN/>
              <w:bidi w:val="0"/>
              <w:adjustRightInd/>
              <w:snapToGrid/>
              <w:spacing w:after="0" w:line="360" w:lineRule="auto"/>
              <w:jc w:val="left"/>
              <w:textAlignment w:val="auto"/>
            </w:pPr>
            <w:r>
              <w:rPr>
                <w:rFonts w:ascii="Times New Roman" w:hAnsi="Times New Roman" w:eastAsia="宋体"/>
                <w:b w:val="0"/>
                <w:sz w:val="22"/>
              </w:rPr>
              <w:t>废活性炭</w:t>
            </w:r>
          </w:p>
        </w:tc>
        <w:tc>
          <w:tcPr>
            <w:tcW w:w="1701" w:type="dxa"/>
          </w:tcPr>
          <w:p w14:paraId="6EAB2FFC">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Times New Roman" w:hAnsi="Times New Roman" w:eastAsia="宋体"/>
                <w:b w:val="0"/>
                <w:sz w:val="22"/>
              </w:rPr>
              <w:t>HW49</w:t>
            </w:r>
          </w:p>
        </w:tc>
        <w:tc>
          <w:tcPr>
            <w:tcW w:w="1984" w:type="dxa"/>
          </w:tcPr>
          <w:p w14:paraId="6D4F034D">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Times New Roman" w:hAnsi="Times New Roman" w:eastAsia="宋体"/>
                <w:b w:val="0"/>
                <w:sz w:val="22"/>
              </w:rPr>
              <w:t>900-039-49</w:t>
            </w:r>
          </w:p>
        </w:tc>
        <w:tc>
          <w:tcPr>
            <w:tcW w:w="1417" w:type="dxa"/>
          </w:tcPr>
          <w:p w14:paraId="595DD69A">
            <w:pPr>
              <w:keepNext w:val="0"/>
              <w:keepLines w:val="0"/>
              <w:pageBreakBefore w:val="0"/>
              <w:widowControl/>
              <w:kinsoku/>
              <w:wordWrap/>
              <w:overflowPunct/>
              <w:topLinePunct w:val="0"/>
              <w:autoSpaceDE/>
              <w:autoSpaceDN/>
              <w:bidi w:val="0"/>
              <w:adjustRightInd/>
              <w:snapToGrid/>
              <w:spacing w:after="0" w:line="360" w:lineRule="auto"/>
              <w:jc w:val="left"/>
              <w:textAlignment w:val="auto"/>
            </w:pPr>
            <w:r>
              <w:rPr>
                <w:rFonts w:ascii="Times New Roman" w:hAnsi="Times New Roman" w:eastAsia="宋体"/>
                <w:b w:val="0"/>
                <w:sz w:val="22"/>
              </w:rPr>
              <w:t>固态废物</w:t>
            </w:r>
          </w:p>
        </w:tc>
      </w:tr>
      <w:tr w14:paraId="5E2416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tcPr>
          <w:p w14:paraId="09D51AAD">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Times New Roman" w:hAnsi="Times New Roman" w:eastAsia="宋体"/>
                <w:b w:val="0"/>
                <w:sz w:val="22"/>
              </w:rPr>
              <w:t>2</w:t>
            </w:r>
          </w:p>
        </w:tc>
        <w:tc>
          <w:tcPr>
            <w:tcW w:w="1984" w:type="dxa"/>
          </w:tcPr>
          <w:p w14:paraId="5EDF4A43">
            <w:pPr>
              <w:keepNext w:val="0"/>
              <w:keepLines w:val="0"/>
              <w:pageBreakBefore w:val="0"/>
              <w:widowControl/>
              <w:kinsoku/>
              <w:wordWrap/>
              <w:overflowPunct/>
              <w:topLinePunct w:val="0"/>
              <w:autoSpaceDE/>
              <w:autoSpaceDN/>
              <w:bidi w:val="0"/>
              <w:adjustRightInd/>
              <w:snapToGrid/>
              <w:spacing w:after="0" w:line="360" w:lineRule="auto"/>
              <w:jc w:val="left"/>
              <w:textAlignment w:val="auto"/>
            </w:pPr>
            <w:r>
              <w:rPr>
                <w:rFonts w:ascii="Times New Roman" w:hAnsi="Times New Roman" w:eastAsia="宋体"/>
                <w:b w:val="0"/>
                <w:sz w:val="22"/>
              </w:rPr>
              <w:t>在线监测废液</w:t>
            </w:r>
          </w:p>
        </w:tc>
        <w:tc>
          <w:tcPr>
            <w:tcW w:w="1701" w:type="dxa"/>
          </w:tcPr>
          <w:p w14:paraId="1C9C34AF">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Times New Roman" w:hAnsi="Times New Roman" w:eastAsia="宋体"/>
                <w:b w:val="0"/>
                <w:sz w:val="22"/>
              </w:rPr>
              <w:t>HW49</w:t>
            </w:r>
          </w:p>
        </w:tc>
        <w:tc>
          <w:tcPr>
            <w:tcW w:w="1984" w:type="dxa"/>
          </w:tcPr>
          <w:p w14:paraId="425370A3">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Times New Roman" w:hAnsi="Times New Roman" w:eastAsia="宋体"/>
                <w:b w:val="0"/>
                <w:sz w:val="22"/>
              </w:rPr>
              <w:t>900-047-49</w:t>
            </w:r>
          </w:p>
        </w:tc>
        <w:tc>
          <w:tcPr>
            <w:tcW w:w="1417" w:type="dxa"/>
          </w:tcPr>
          <w:p w14:paraId="35D4793F">
            <w:pPr>
              <w:keepNext w:val="0"/>
              <w:keepLines w:val="0"/>
              <w:pageBreakBefore w:val="0"/>
              <w:widowControl/>
              <w:kinsoku/>
              <w:wordWrap/>
              <w:overflowPunct/>
              <w:topLinePunct w:val="0"/>
              <w:autoSpaceDE/>
              <w:autoSpaceDN/>
              <w:bidi w:val="0"/>
              <w:adjustRightInd/>
              <w:snapToGrid/>
              <w:spacing w:after="0" w:line="360" w:lineRule="auto"/>
              <w:jc w:val="left"/>
              <w:textAlignment w:val="auto"/>
            </w:pPr>
            <w:r>
              <w:rPr>
                <w:rFonts w:ascii="Times New Roman" w:hAnsi="Times New Roman" w:eastAsia="宋体"/>
                <w:b w:val="0"/>
                <w:sz w:val="22"/>
              </w:rPr>
              <w:t>液态废物</w:t>
            </w:r>
          </w:p>
        </w:tc>
      </w:tr>
      <w:tr w14:paraId="137E3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tcPr>
          <w:p w14:paraId="07EAFCD1">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Times New Roman" w:hAnsi="Times New Roman" w:eastAsia="宋体"/>
                <w:b w:val="0"/>
                <w:sz w:val="22"/>
              </w:rPr>
              <w:t>3</w:t>
            </w:r>
          </w:p>
        </w:tc>
        <w:tc>
          <w:tcPr>
            <w:tcW w:w="1984" w:type="dxa"/>
          </w:tcPr>
          <w:p w14:paraId="70ABA65F">
            <w:pPr>
              <w:keepNext w:val="0"/>
              <w:keepLines w:val="0"/>
              <w:pageBreakBefore w:val="0"/>
              <w:widowControl/>
              <w:kinsoku/>
              <w:wordWrap/>
              <w:overflowPunct/>
              <w:topLinePunct w:val="0"/>
              <w:autoSpaceDE/>
              <w:autoSpaceDN/>
              <w:bidi w:val="0"/>
              <w:adjustRightInd/>
              <w:snapToGrid/>
              <w:spacing w:after="0" w:line="360" w:lineRule="auto"/>
              <w:jc w:val="left"/>
              <w:textAlignment w:val="auto"/>
            </w:pPr>
            <w:r>
              <w:rPr>
                <w:rFonts w:ascii="Times New Roman" w:hAnsi="Times New Roman" w:eastAsia="宋体"/>
                <w:b w:val="0"/>
                <w:sz w:val="22"/>
              </w:rPr>
              <w:t>空试剂瓶</w:t>
            </w:r>
          </w:p>
        </w:tc>
        <w:tc>
          <w:tcPr>
            <w:tcW w:w="1701" w:type="dxa"/>
          </w:tcPr>
          <w:p w14:paraId="1873F297">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Times New Roman" w:hAnsi="Times New Roman" w:eastAsia="宋体"/>
                <w:b w:val="0"/>
                <w:sz w:val="22"/>
              </w:rPr>
              <w:t>HW49</w:t>
            </w:r>
          </w:p>
        </w:tc>
        <w:tc>
          <w:tcPr>
            <w:tcW w:w="1984" w:type="dxa"/>
          </w:tcPr>
          <w:p w14:paraId="1C8F308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eastAsia="宋体"/>
                <w:lang w:val="en-US" w:eastAsia="zh-CN"/>
              </w:rPr>
            </w:pPr>
            <w:r>
              <w:rPr>
                <w:rFonts w:hint="eastAsia" w:eastAsia="宋体"/>
                <w:lang w:val="en-US" w:eastAsia="zh-CN"/>
              </w:rPr>
              <w:t>900-041-49</w:t>
            </w:r>
          </w:p>
        </w:tc>
        <w:tc>
          <w:tcPr>
            <w:tcW w:w="1417" w:type="dxa"/>
          </w:tcPr>
          <w:p w14:paraId="23B0A57D">
            <w:pPr>
              <w:keepNext w:val="0"/>
              <w:keepLines w:val="0"/>
              <w:pageBreakBefore w:val="0"/>
              <w:widowControl/>
              <w:kinsoku/>
              <w:wordWrap/>
              <w:overflowPunct/>
              <w:topLinePunct w:val="0"/>
              <w:autoSpaceDE/>
              <w:autoSpaceDN/>
              <w:bidi w:val="0"/>
              <w:adjustRightInd/>
              <w:snapToGrid/>
              <w:spacing w:after="0" w:line="360" w:lineRule="auto"/>
              <w:jc w:val="left"/>
              <w:textAlignment w:val="auto"/>
            </w:pPr>
            <w:r>
              <w:rPr>
                <w:rFonts w:ascii="Times New Roman" w:hAnsi="Times New Roman" w:eastAsia="宋体"/>
                <w:b w:val="0"/>
                <w:sz w:val="22"/>
              </w:rPr>
              <w:t>固态废物</w:t>
            </w:r>
          </w:p>
        </w:tc>
      </w:tr>
      <w:tr w14:paraId="7F058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tcPr>
          <w:p w14:paraId="1274D753">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Times New Roman" w:hAnsi="Times New Roman" w:eastAsia="宋体"/>
                <w:b w:val="0"/>
                <w:sz w:val="22"/>
              </w:rPr>
              <w:t>4</w:t>
            </w:r>
          </w:p>
        </w:tc>
        <w:tc>
          <w:tcPr>
            <w:tcW w:w="1984" w:type="dxa"/>
          </w:tcPr>
          <w:p w14:paraId="29C99D12">
            <w:pPr>
              <w:keepNext w:val="0"/>
              <w:keepLines w:val="0"/>
              <w:pageBreakBefore w:val="0"/>
              <w:widowControl/>
              <w:kinsoku/>
              <w:wordWrap/>
              <w:overflowPunct/>
              <w:topLinePunct w:val="0"/>
              <w:autoSpaceDE/>
              <w:autoSpaceDN/>
              <w:bidi w:val="0"/>
              <w:adjustRightInd/>
              <w:snapToGrid/>
              <w:spacing w:after="0" w:line="360" w:lineRule="auto"/>
              <w:jc w:val="left"/>
              <w:textAlignment w:val="auto"/>
            </w:pPr>
            <w:r>
              <w:rPr>
                <w:rFonts w:ascii="Times New Roman" w:hAnsi="Times New Roman" w:eastAsia="宋体"/>
                <w:b w:val="0"/>
                <w:sz w:val="22"/>
              </w:rPr>
              <w:t>过期药品</w:t>
            </w:r>
          </w:p>
        </w:tc>
        <w:tc>
          <w:tcPr>
            <w:tcW w:w="1701" w:type="dxa"/>
          </w:tcPr>
          <w:p w14:paraId="72B37ECD">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Times New Roman" w:hAnsi="Times New Roman" w:eastAsia="宋体"/>
                <w:b w:val="0"/>
                <w:sz w:val="22"/>
              </w:rPr>
              <w:t>HW03</w:t>
            </w:r>
          </w:p>
        </w:tc>
        <w:tc>
          <w:tcPr>
            <w:tcW w:w="1984" w:type="dxa"/>
          </w:tcPr>
          <w:p w14:paraId="6D9BF6D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eastAsia="宋体"/>
                <w:lang w:val="en-US" w:eastAsia="zh-CN"/>
              </w:rPr>
            </w:pPr>
            <w:r>
              <w:rPr>
                <w:rFonts w:hint="eastAsia" w:eastAsia="宋体"/>
                <w:lang w:val="en-US" w:eastAsia="zh-CN"/>
              </w:rPr>
              <w:t>900-002-03</w:t>
            </w:r>
          </w:p>
        </w:tc>
        <w:tc>
          <w:tcPr>
            <w:tcW w:w="1417" w:type="dxa"/>
          </w:tcPr>
          <w:p w14:paraId="6FCA9DB3">
            <w:pPr>
              <w:keepNext w:val="0"/>
              <w:keepLines w:val="0"/>
              <w:pageBreakBefore w:val="0"/>
              <w:widowControl/>
              <w:kinsoku/>
              <w:wordWrap/>
              <w:overflowPunct/>
              <w:topLinePunct w:val="0"/>
              <w:autoSpaceDE/>
              <w:autoSpaceDN/>
              <w:bidi w:val="0"/>
              <w:adjustRightInd/>
              <w:snapToGrid/>
              <w:spacing w:after="0" w:line="360" w:lineRule="auto"/>
              <w:jc w:val="left"/>
              <w:textAlignment w:val="auto"/>
            </w:pPr>
            <w:r>
              <w:rPr>
                <w:rFonts w:ascii="Times New Roman" w:hAnsi="Times New Roman" w:eastAsia="宋体"/>
                <w:b w:val="0"/>
                <w:sz w:val="22"/>
              </w:rPr>
              <w:t>固态废物</w:t>
            </w:r>
          </w:p>
        </w:tc>
      </w:tr>
    </w:tbl>
    <w:p w14:paraId="10347CFA">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rPr>
          <w:rFonts w:ascii="Times New Roman" w:hAnsi="Times New Roman" w:eastAsia="宋体"/>
          <w:b/>
          <w:sz w:val="24"/>
        </w:rPr>
      </w:pPr>
      <w:r>
        <w:rPr>
          <w:rFonts w:ascii="Times New Roman" w:hAnsi="Times New Roman" w:eastAsia="宋体"/>
          <w:b/>
          <w:sz w:val="24"/>
        </w:rPr>
        <w:t>1.2  处置费用及预算</w:t>
      </w:r>
    </w:p>
    <w:p w14:paraId="17E76BED">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rPr>
          <w:rFonts w:hint="eastAsia" w:ascii="Times New Roman" w:hAnsi="Times New Roman" w:eastAsia="宋体"/>
          <w:b w:val="0"/>
          <w:sz w:val="24"/>
        </w:rPr>
      </w:pPr>
      <w:r>
        <w:rPr>
          <w:rFonts w:hint="eastAsia" w:ascii="Times New Roman" w:hAnsi="Times New Roman" w:eastAsia="宋体"/>
          <w:b w:val="0"/>
          <w:sz w:val="24"/>
        </w:rPr>
        <w:t>本项目采用年度打包定价方式，最高限价为人民币</w:t>
      </w:r>
      <w:r>
        <w:rPr>
          <w:rFonts w:hint="eastAsia" w:ascii="Times New Roman" w:hAnsi="Times New Roman" w:eastAsia="宋体"/>
          <w:b w:val="0"/>
          <w:sz w:val="24"/>
          <w:u w:val="single"/>
          <w:lang w:val="en-US" w:eastAsia="zh-CN"/>
        </w:rPr>
        <w:t xml:space="preserve">       </w:t>
      </w:r>
      <w:r>
        <w:rPr>
          <w:rFonts w:hint="eastAsia" w:ascii="Times New Roman" w:hAnsi="Times New Roman" w:eastAsia="宋体"/>
          <w:b w:val="0"/>
          <w:sz w:val="24"/>
        </w:rPr>
        <w:t>元（大写：</w:t>
      </w:r>
      <w:r>
        <w:rPr>
          <w:rFonts w:hint="eastAsia" w:ascii="Times New Roman" w:hAnsi="Times New Roman" w:eastAsia="宋体"/>
          <w:b w:val="0"/>
          <w:sz w:val="24"/>
          <w:u w:val="single"/>
          <w:lang w:val="en-US" w:eastAsia="zh-CN"/>
        </w:rPr>
        <w:t xml:space="preserve">       </w:t>
      </w:r>
      <w:r>
        <w:rPr>
          <w:rFonts w:hint="eastAsia" w:ascii="Times New Roman" w:hAnsi="Times New Roman" w:eastAsia="宋体"/>
          <w:b w:val="0"/>
          <w:sz w:val="24"/>
        </w:rPr>
        <w:t>）。此费用为固定总价，包含清运过程中产生的所有费用。在合同有效期内，无论甲方产生的危险废物转运量是否超过1吨，年度处置费用均按此价格执行。</w:t>
      </w:r>
    </w:p>
    <w:p w14:paraId="2563F65F">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hint="eastAsia" w:ascii="Times New Roman" w:hAnsi="Times New Roman" w:eastAsia="宋体"/>
          <w:b w:val="0"/>
          <w:sz w:val="24"/>
        </w:rPr>
        <w:t>甲方每年至少向乙方转运危险废物一次。</w:t>
      </w:r>
    </w:p>
    <w:p w14:paraId="3CD9020C">
      <w:pPr>
        <w:keepNext w:val="0"/>
        <w:keepLines w:val="0"/>
        <w:pageBreakBefore w:val="0"/>
        <w:widowControl/>
        <w:kinsoku/>
        <w:wordWrap/>
        <w:overflowPunct/>
        <w:topLinePunct w:val="0"/>
        <w:autoSpaceDE/>
        <w:autoSpaceDN/>
        <w:bidi w:val="0"/>
        <w:adjustRightInd/>
        <w:snapToGrid/>
        <w:spacing w:after="0" w:line="360" w:lineRule="auto"/>
        <w:jc w:val="left"/>
        <w:textAlignment w:val="auto"/>
      </w:pPr>
      <w:r>
        <w:rPr>
          <w:rFonts w:ascii="Times New Roman" w:hAnsi="Times New Roman" w:eastAsia="黑体"/>
          <w:b/>
          <w:sz w:val="28"/>
        </w:rPr>
        <w:t>第二条  危险废物包装要求</w:t>
      </w:r>
    </w:p>
    <w:p w14:paraId="03C2AF00">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2.1  分类包装与标识</w:t>
      </w:r>
      <w:r>
        <w:rPr>
          <w:rFonts w:hint="eastAsia" w:ascii="Times New Roman" w:hAnsi="Times New Roman" w:eastAsia="宋体"/>
          <w:b/>
          <w:sz w:val="24"/>
          <w:lang w:val="en-US" w:eastAsia="zh-CN"/>
        </w:rPr>
        <w:t xml:space="preserve">  </w:t>
      </w:r>
      <w:r>
        <w:rPr>
          <w:rFonts w:ascii="Times New Roman" w:hAnsi="Times New Roman" w:eastAsia="宋体"/>
          <w:b w:val="0"/>
          <w:sz w:val="24"/>
        </w:rPr>
        <w:t>甲方须对产生的危险废物进行严格分类存放与规范标识，同一包装物内严禁混装不同品种的危险废物。</w:t>
      </w:r>
    </w:p>
    <w:p w14:paraId="133DFEFA">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2.2  固态废物包装</w:t>
      </w:r>
      <w:r>
        <w:rPr>
          <w:rFonts w:hint="eastAsia" w:ascii="Times New Roman" w:hAnsi="Times New Roman" w:eastAsia="宋体"/>
          <w:b/>
          <w:sz w:val="24"/>
          <w:lang w:val="en-US" w:eastAsia="zh-CN"/>
        </w:rPr>
        <w:t xml:space="preserve">  </w:t>
      </w:r>
      <w:r>
        <w:rPr>
          <w:rFonts w:ascii="Times New Roman" w:hAnsi="Times New Roman" w:eastAsia="宋体"/>
          <w:b w:val="0"/>
          <w:sz w:val="24"/>
        </w:rPr>
        <w:t>废活性炭、空试剂瓶及过期药品等固态废物，须使用符合国家标准的吨袋进行包装，并严密封口，确保在搬运和运输过程中不发生散落或泄漏。</w:t>
      </w:r>
    </w:p>
    <w:p w14:paraId="42A9DDB4">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2.3  液态废物包装</w:t>
      </w:r>
      <w:r>
        <w:rPr>
          <w:rFonts w:hint="eastAsia" w:ascii="Times New Roman" w:hAnsi="Times New Roman" w:eastAsia="宋体"/>
          <w:b/>
          <w:sz w:val="24"/>
          <w:lang w:val="en-US" w:eastAsia="zh-CN"/>
        </w:rPr>
        <w:t xml:space="preserve">  </w:t>
      </w:r>
      <w:r>
        <w:rPr>
          <w:rFonts w:ascii="Times New Roman" w:hAnsi="Times New Roman" w:eastAsia="宋体"/>
          <w:b w:val="0"/>
          <w:sz w:val="24"/>
        </w:rPr>
        <w:t>在线监测废液等液态废物，须使用专用容器（桶）进行包装并封口，配备密封盖，防止渗漏。</w:t>
      </w:r>
    </w:p>
    <w:p w14:paraId="73487E1F">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2.4  存量控制</w:t>
      </w:r>
      <w:r>
        <w:rPr>
          <w:rFonts w:hint="eastAsia" w:ascii="Times New Roman" w:hAnsi="Times New Roman" w:eastAsia="宋体"/>
          <w:b/>
          <w:sz w:val="24"/>
          <w:lang w:val="en-US" w:eastAsia="zh-CN"/>
        </w:rPr>
        <w:t xml:space="preserve">  </w:t>
      </w:r>
      <w:r>
        <w:rPr>
          <w:rFonts w:ascii="Times New Roman" w:hAnsi="Times New Roman" w:eastAsia="宋体"/>
          <w:b w:val="0"/>
          <w:sz w:val="24"/>
        </w:rPr>
        <w:t>甲方院内危险废物暂存存量不得超过1吨。</w:t>
      </w:r>
    </w:p>
    <w:p w14:paraId="280928D5">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2.5  拒收权利</w:t>
      </w:r>
      <w:r>
        <w:rPr>
          <w:rFonts w:hint="eastAsia" w:ascii="Times New Roman" w:hAnsi="Times New Roman" w:eastAsia="宋体"/>
          <w:b/>
          <w:sz w:val="24"/>
          <w:lang w:val="en-US" w:eastAsia="zh-CN"/>
        </w:rPr>
        <w:t xml:space="preserve">  </w:t>
      </w:r>
      <w:r>
        <w:rPr>
          <w:rFonts w:ascii="Times New Roman" w:hAnsi="Times New Roman" w:eastAsia="宋体"/>
          <w:b w:val="0"/>
          <w:sz w:val="24"/>
        </w:rPr>
        <w:t>若甲方提供的危险废物包装不符合上述要求，或存在外泄、渗漏风险，乙方有权拒绝接收，由此产生的责任及后果由甲方自行承担。</w:t>
      </w:r>
    </w:p>
    <w:p w14:paraId="5B6C9222">
      <w:pPr>
        <w:keepNext w:val="0"/>
        <w:keepLines w:val="0"/>
        <w:pageBreakBefore w:val="0"/>
        <w:widowControl/>
        <w:kinsoku/>
        <w:wordWrap/>
        <w:overflowPunct/>
        <w:topLinePunct w:val="0"/>
        <w:autoSpaceDE/>
        <w:autoSpaceDN/>
        <w:bidi w:val="0"/>
        <w:adjustRightInd/>
        <w:snapToGrid/>
        <w:spacing w:after="0" w:line="360" w:lineRule="auto"/>
        <w:jc w:val="left"/>
        <w:textAlignment w:val="auto"/>
      </w:pPr>
      <w:r>
        <w:rPr>
          <w:rFonts w:ascii="Times New Roman" w:hAnsi="Times New Roman" w:eastAsia="黑体"/>
          <w:b/>
          <w:sz w:val="28"/>
        </w:rPr>
        <w:t>第三条  甲方责任和义务</w:t>
      </w:r>
    </w:p>
    <w:p w14:paraId="7E5D9684">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3.1  资质与信息提供</w:t>
      </w:r>
      <w:r>
        <w:rPr>
          <w:rFonts w:hint="eastAsia" w:ascii="Times New Roman" w:hAnsi="Times New Roman" w:eastAsia="宋体"/>
          <w:b/>
          <w:sz w:val="24"/>
          <w:lang w:val="en-US" w:eastAsia="zh-CN"/>
        </w:rPr>
        <w:t xml:space="preserve">  </w:t>
      </w:r>
      <w:r>
        <w:rPr>
          <w:rFonts w:ascii="Times New Roman" w:hAnsi="Times New Roman" w:eastAsia="宋体"/>
          <w:b w:val="0"/>
          <w:sz w:val="24"/>
        </w:rPr>
        <w:t>甲方应向乙方提供有效的营业执照复印件及详细的危险废物明细表；在首次转移前，甲方须提供废物样品供乙方进行特性分析，以确保乙方具备相应的处置能力。</w:t>
      </w:r>
    </w:p>
    <w:p w14:paraId="31D3B1C0">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3.2  贮存与现场管理</w:t>
      </w:r>
      <w:r>
        <w:rPr>
          <w:rFonts w:hint="eastAsia" w:ascii="Times New Roman" w:hAnsi="Times New Roman" w:eastAsia="宋体"/>
          <w:b/>
          <w:sz w:val="24"/>
          <w:lang w:val="en-US" w:eastAsia="zh-CN"/>
        </w:rPr>
        <w:t xml:space="preserve">  </w:t>
      </w:r>
      <w:r>
        <w:rPr>
          <w:rFonts w:ascii="宋体" w:hAnsi="宋体" w:eastAsia="宋体" w:cs="宋体"/>
          <w:sz w:val="24"/>
          <w:szCs w:val="24"/>
        </w:rPr>
        <w:t>甲方应选用合规包装物，负责院内危险废物的分类收集、规范包装、安全暂存及系统备案；危险废物分类存放并设置标识，贮存场所须符合环保要求，且保障运输车辆正常进出</w:t>
      </w:r>
      <w:r>
        <w:rPr>
          <w:rFonts w:ascii="Times New Roman" w:hAnsi="Times New Roman" w:eastAsia="宋体"/>
          <w:b w:val="0"/>
          <w:sz w:val="24"/>
        </w:rPr>
        <w:t>。</w:t>
      </w:r>
    </w:p>
    <w:p w14:paraId="1FEAB2C0">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3.3  转移备案</w:t>
      </w:r>
      <w:r>
        <w:rPr>
          <w:rFonts w:hint="eastAsia" w:ascii="Times New Roman" w:hAnsi="Times New Roman" w:eastAsia="宋体"/>
          <w:b/>
          <w:sz w:val="24"/>
          <w:lang w:val="en-US" w:eastAsia="zh-CN"/>
        </w:rPr>
        <w:t xml:space="preserve">  </w:t>
      </w:r>
      <w:r>
        <w:rPr>
          <w:rFonts w:ascii="Times New Roman" w:hAnsi="Times New Roman" w:eastAsia="宋体"/>
          <w:b w:val="0"/>
          <w:sz w:val="24"/>
        </w:rPr>
        <w:t>甲方须负责在"</w:t>
      </w:r>
      <w:r>
        <w:rPr>
          <w:rFonts w:hint="eastAsia" w:ascii="Times New Roman" w:hAnsi="Times New Roman" w:eastAsia="宋体"/>
          <w:b w:val="0"/>
          <w:sz w:val="24"/>
          <w:lang w:val="en-US" w:eastAsia="zh-CN"/>
        </w:rPr>
        <w:t>安徽省固体废物与化学品管理系统</w:t>
      </w:r>
      <w:r>
        <w:rPr>
          <w:rFonts w:ascii="Times New Roman" w:hAnsi="Times New Roman" w:eastAsia="宋体"/>
          <w:b w:val="0"/>
          <w:sz w:val="24"/>
        </w:rPr>
        <w:t>"中完成"危废转移备案"手续。</w:t>
      </w:r>
    </w:p>
    <w:p w14:paraId="11270AB8">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rPr>
          <w:rFonts w:ascii="Times New Roman" w:hAnsi="Times New Roman" w:eastAsia="宋体"/>
          <w:b w:val="0"/>
          <w:sz w:val="24"/>
        </w:rPr>
      </w:pPr>
      <w:r>
        <w:rPr>
          <w:rFonts w:ascii="Times New Roman" w:hAnsi="Times New Roman" w:eastAsia="宋体"/>
          <w:b/>
          <w:sz w:val="24"/>
        </w:rPr>
        <w:t>3.4  合规承诺</w:t>
      </w:r>
      <w:r>
        <w:rPr>
          <w:rFonts w:hint="eastAsia" w:ascii="Times New Roman" w:hAnsi="Times New Roman" w:eastAsia="宋体"/>
          <w:b/>
          <w:sz w:val="24"/>
          <w:lang w:val="en-US" w:eastAsia="zh-CN"/>
        </w:rPr>
        <w:t xml:space="preserve">  </w:t>
      </w:r>
      <w:r>
        <w:rPr>
          <w:rFonts w:ascii="Times New Roman" w:hAnsi="Times New Roman" w:eastAsia="宋体"/>
          <w:b w:val="0"/>
          <w:sz w:val="24"/>
        </w:rPr>
        <w:t>甲方不得利用乙方的危险废物经营资质开展任何未经许可的经营项目。</w:t>
      </w:r>
    </w:p>
    <w:p w14:paraId="4755ACBA">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rPr>
          <w:rFonts w:ascii="Times New Roman" w:hAnsi="Times New Roman" w:eastAsia="宋体"/>
          <w:b w:val="0"/>
          <w:sz w:val="24"/>
        </w:rPr>
      </w:pPr>
      <w:r>
        <w:rPr>
          <w:rFonts w:hint="eastAsia" w:ascii="Times New Roman" w:hAnsi="Times New Roman" w:eastAsia="宋体"/>
          <w:b/>
          <w:bCs/>
          <w:sz w:val="24"/>
          <w:lang w:val="en-US" w:eastAsia="zh-CN"/>
        </w:rPr>
        <w:t>3.5服务费用</w:t>
      </w:r>
      <w:r>
        <w:rPr>
          <w:rFonts w:hint="eastAsia" w:ascii="Times New Roman" w:hAnsi="Times New Roman" w:eastAsia="宋体"/>
          <w:b w:val="0"/>
          <w:sz w:val="24"/>
          <w:lang w:val="en-US" w:eastAsia="zh-CN"/>
        </w:rPr>
        <w:t xml:space="preserve">  </w:t>
      </w:r>
      <w:r>
        <w:rPr>
          <w:rFonts w:hint="eastAsia" w:ascii="Times New Roman" w:hAnsi="Times New Roman" w:eastAsia="宋体"/>
          <w:b w:val="0"/>
          <w:sz w:val="24"/>
        </w:rPr>
        <w:t>按约定支付处置费用。</w:t>
      </w:r>
    </w:p>
    <w:p w14:paraId="7165BFDD">
      <w:pPr>
        <w:keepNext w:val="0"/>
        <w:keepLines w:val="0"/>
        <w:pageBreakBefore w:val="0"/>
        <w:widowControl/>
        <w:kinsoku/>
        <w:wordWrap/>
        <w:overflowPunct/>
        <w:topLinePunct w:val="0"/>
        <w:autoSpaceDE/>
        <w:autoSpaceDN/>
        <w:bidi w:val="0"/>
        <w:adjustRightInd/>
        <w:snapToGrid/>
        <w:spacing w:after="0" w:line="360" w:lineRule="auto"/>
        <w:jc w:val="left"/>
        <w:textAlignment w:val="auto"/>
      </w:pPr>
      <w:r>
        <w:rPr>
          <w:rFonts w:ascii="Times New Roman" w:hAnsi="Times New Roman" w:eastAsia="黑体"/>
          <w:b/>
          <w:sz w:val="28"/>
        </w:rPr>
        <w:t>第四条  乙方责任和义务</w:t>
      </w:r>
    </w:p>
    <w:p w14:paraId="250A8846">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4.1  资质保证</w:t>
      </w:r>
      <w:r>
        <w:rPr>
          <w:rFonts w:hint="eastAsia" w:ascii="Times New Roman" w:hAnsi="Times New Roman" w:eastAsia="宋体"/>
          <w:b/>
          <w:sz w:val="24"/>
          <w:lang w:val="en-US" w:eastAsia="zh-CN"/>
        </w:rPr>
        <w:t xml:space="preserve">  </w:t>
      </w:r>
      <w:r>
        <w:rPr>
          <w:rFonts w:ascii="Times New Roman" w:hAnsi="Times New Roman" w:eastAsia="宋体"/>
          <w:b w:val="0"/>
          <w:sz w:val="24"/>
        </w:rPr>
        <w:t>乙方须保证在合同有效期内，所持《危险废物经营许可证》《营业执照》《道路运输许可证》等相关证件合法有效。</w:t>
      </w:r>
    </w:p>
    <w:p w14:paraId="4DFF58B5">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4.2  运输与处置方案</w:t>
      </w:r>
      <w:r>
        <w:rPr>
          <w:rFonts w:hint="eastAsia" w:ascii="Times New Roman" w:hAnsi="Times New Roman" w:eastAsia="宋体"/>
          <w:b/>
          <w:sz w:val="24"/>
          <w:lang w:val="en-US" w:eastAsia="zh-CN"/>
        </w:rPr>
        <w:t xml:space="preserve">  </w:t>
      </w:r>
      <w:r>
        <w:rPr>
          <w:rFonts w:ascii="Times New Roman" w:hAnsi="Times New Roman" w:eastAsia="宋体"/>
          <w:b w:val="0"/>
          <w:sz w:val="24"/>
        </w:rPr>
        <w:t>乙方须制定科学严密的运输、贮存和处置方案，确保在收集、运输及处置过程中不产生二次污染。</w:t>
      </w:r>
    </w:p>
    <w:p w14:paraId="22E6BAA2">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4.3  文明作业</w:t>
      </w:r>
      <w:r>
        <w:rPr>
          <w:rFonts w:hint="eastAsia" w:ascii="Times New Roman" w:hAnsi="Times New Roman" w:eastAsia="宋体"/>
          <w:b/>
          <w:sz w:val="24"/>
          <w:lang w:val="en-US" w:eastAsia="zh-CN"/>
        </w:rPr>
        <w:t xml:space="preserve">  </w:t>
      </w:r>
      <w:r>
        <w:rPr>
          <w:rFonts w:ascii="Times New Roman" w:hAnsi="Times New Roman" w:eastAsia="宋体"/>
          <w:b w:val="0"/>
          <w:sz w:val="24"/>
        </w:rPr>
        <w:t>乙方工作人员在甲方现场作业时，应做到文明作业，严格遵守甲方的相关规章制度。</w:t>
      </w:r>
    </w:p>
    <w:p w14:paraId="22A2EAD4">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4.4  异常情况通告</w:t>
      </w:r>
      <w:r>
        <w:rPr>
          <w:rFonts w:hint="eastAsia" w:ascii="Times New Roman" w:hAnsi="Times New Roman" w:eastAsia="宋体"/>
          <w:b/>
          <w:sz w:val="24"/>
          <w:lang w:val="en-US" w:eastAsia="zh-CN"/>
        </w:rPr>
        <w:t xml:space="preserve">  </w:t>
      </w:r>
      <w:r>
        <w:rPr>
          <w:rFonts w:ascii="Times New Roman" w:hAnsi="Times New Roman" w:eastAsia="宋体"/>
          <w:b w:val="0"/>
          <w:sz w:val="24"/>
        </w:rPr>
        <w:t>因政府行为、设备检修、不可抗力等原因导致乙方无法按时接收危险废物时，乙方应及时书面通告甲方。</w:t>
      </w:r>
    </w:p>
    <w:p w14:paraId="297C2A4B">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rPr>
          <w:rFonts w:ascii="Times New Roman" w:hAnsi="Times New Roman" w:eastAsia="宋体"/>
          <w:b w:val="0"/>
          <w:sz w:val="24"/>
        </w:rPr>
      </w:pPr>
      <w:r>
        <w:rPr>
          <w:rFonts w:ascii="Times New Roman" w:hAnsi="Times New Roman" w:eastAsia="宋体"/>
          <w:b/>
          <w:sz w:val="24"/>
        </w:rPr>
        <w:t>4.5  拒收权利</w:t>
      </w:r>
      <w:r>
        <w:rPr>
          <w:rFonts w:hint="eastAsia" w:ascii="Times New Roman" w:hAnsi="Times New Roman" w:eastAsia="宋体"/>
          <w:b/>
          <w:sz w:val="24"/>
          <w:lang w:val="en-US" w:eastAsia="zh-CN"/>
        </w:rPr>
        <w:t xml:space="preserve">  </w:t>
      </w:r>
      <w:r>
        <w:rPr>
          <w:rFonts w:ascii="Times New Roman" w:hAnsi="Times New Roman" w:eastAsia="宋体"/>
          <w:b w:val="0"/>
          <w:sz w:val="24"/>
        </w:rPr>
        <w:t>若甲方危险废物的物理、化学特性发生重大变化，超出乙方处置能力或许可范围的，乙方有权拒绝收运。</w:t>
      </w:r>
    </w:p>
    <w:p w14:paraId="0C8D42D3">
      <w:pPr>
        <w:keepNext w:val="0"/>
        <w:keepLines w:val="0"/>
        <w:pageBreakBefore w:val="0"/>
        <w:widowControl/>
        <w:kinsoku/>
        <w:wordWrap/>
        <w:overflowPunct/>
        <w:topLinePunct w:val="0"/>
        <w:autoSpaceDE/>
        <w:autoSpaceDN/>
        <w:bidi w:val="0"/>
        <w:adjustRightInd/>
        <w:snapToGrid/>
        <w:spacing w:after="0" w:line="360" w:lineRule="auto"/>
        <w:ind w:firstLine="480" w:firstLineChars="200"/>
        <w:jc w:val="left"/>
        <w:textAlignment w:val="auto"/>
        <w:rPr>
          <w:rFonts w:hint="eastAsia" w:ascii="Times New Roman" w:hAnsi="Times New Roman" w:eastAsia="宋体"/>
          <w:b w:val="0"/>
          <w:sz w:val="24"/>
          <w:lang w:val="en-US" w:eastAsia="zh-CN"/>
        </w:rPr>
      </w:pPr>
      <w:r>
        <w:rPr>
          <w:rFonts w:hint="eastAsia" w:ascii="Times New Roman" w:hAnsi="Times New Roman" w:eastAsia="宋体"/>
          <w:b w:val="0"/>
          <w:sz w:val="24"/>
          <w:lang w:val="en-US" w:eastAsia="zh-CN"/>
        </w:rPr>
        <w:t>4.6</w:t>
      </w:r>
      <w:r>
        <w:rPr>
          <w:rFonts w:hint="eastAsia" w:ascii="Times New Roman" w:hAnsi="Times New Roman" w:eastAsia="宋体"/>
          <w:b/>
          <w:bCs/>
          <w:sz w:val="24"/>
          <w:lang w:val="en-US" w:eastAsia="zh-CN"/>
        </w:rPr>
        <w:t>服务及其他</w:t>
      </w:r>
      <w:r>
        <w:rPr>
          <w:rFonts w:hint="eastAsia" w:ascii="Times New Roman" w:hAnsi="Times New Roman" w:eastAsia="宋体"/>
          <w:b w:val="0"/>
          <w:sz w:val="24"/>
          <w:lang w:val="en-US" w:eastAsia="zh-CN"/>
        </w:rPr>
        <w:t xml:space="preserve">  </w:t>
      </w:r>
      <w:r>
        <w:rPr>
          <w:rFonts w:hint="eastAsia" w:ascii="Times New Roman" w:hAnsi="Times New Roman" w:eastAsia="宋体"/>
          <w:b w:val="0"/>
          <w:sz w:val="24"/>
        </w:rPr>
        <w:t>提供合规的收集、运输及处置服务</w:t>
      </w:r>
      <w:r>
        <w:rPr>
          <w:rFonts w:hint="eastAsia" w:ascii="Times New Roman" w:hAnsi="Times New Roman" w:eastAsia="宋体"/>
          <w:b w:val="0"/>
          <w:sz w:val="24"/>
          <w:lang w:eastAsia="zh-CN"/>
        </w:rPr>
        <w:t>；</w:t>
      </w:r>
      <w:r>
        <w:rPr>
          <w:rFonts w:hint="eastAsia" w:ascii="Times New Roman" w:hAnsi="Times New Roman" w:eastAsia="宋体"/>
          <w:b w:val="0"/>
          <w:sz w:val="24"/>
        </w:rPr>
        <w:t>确保处置过程环保达标</w:t>
      </w:r>
      <w:r>
        <w:rPr>
          <w:rFonts w:hint="eastAsia" w:ascii="Times New Roman" w:hAnsi="Times New Roman" w:eastAsia="宋体"/>
          <w:b w:val="0"/>
          <w:sz w:val="24"/>
          <w:lang w:eastAsia="zh-CN"/>
        </w:rPr>
        <w:t>；</w:t>
      </w:r>
      <w:r>
        <w:rPr>
          <w:rFonts w:hint="eastAsia" w:ascii="Times New Roman" w:hAnsi="Times New Roman" w:eastAsia="宋体"/>
          <w:b w:val="0"/>
          <w:sz w:val="24"/>
        </w:rPr>
        <w:t>配合甲方完成联单填报及台账记录</w:t>
      </w:r>
      <w:r>
        <w:rPr>
          <w:rFonts w:hint="eastAsia" w:ascii="Times New Roman" w:hAnsi="Times New Roman" w:eastAsia="宋体"/>
          <w:b w:val="0"/>
          <w:sz w:val="24"/>
          <w:lang w:eastAsia="zh-CN"/>
        </w:rPr>
        <w:t>。</w:t>
      </w:r>
    </w:p>
    <w:p w14:paraId="0997BBAC">
      <w:pPr>
        <w:keepNext w:val="0"/>
        <w:keepLines w:val="0"/>
        <w:pageBreakBefore w:val="0"/>
        <w:widowControl/>
        <w:kinsoku/>
        <w:wordWrap/>
        <w:overflowPunct/>
        <w:topLinePunct w:val="0"/>
        <w:autoSpaceDE/>
        <w:autoSpaceDN/>
        <w:bidi w:val="0"/>
        <w:adjustRightInd/>
        <w:snapToGrid/>
        <w:spacing w:after="0" w:line="360" w:lineRule="auto"/>
        <w:jc w:val="left"/>
        <w:textAlignment w:val="auto"/>
      </w:pPr>
      <w:r>
        <w:rPr>
          <w:rFonts w:ascii="Times New Roman" w:hAnsi="Times New Roman" w:eastAsia="黑体"/>
          <w:b/>
          <w:sz w:val="28"/>
        </w:rPr>
        <w:t>第五条  危险废物转移交接</w:t>
      </w:r>
    </w:p>
    <w:p w14:paraId="30B574A0">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5.1  系统备案</w:t>
      </w:r>
      <w:r>
        <w:rPr>
          <w:rFonts w:hint="eastAsia" w:ascii="Times New Roman" w:hAnsi="Times New Roman" w:eastAsia="宋体"/>
          <w:b/>
          <w:sz w:val="24"/>
          <w:lang w:val="en-US" w:eastAsia="zh-CN"/>
        </w:rPr>
        <w:t xml:space="preserve">  </w:t>
      </w:r>
      <w:r>
        <w:rPr>
          <w:rFonts w:ascii="Times New Roman" w:hAnsi="Times New Roman" w:eastAsia="宋体"/>
          <w:b w:val="0"/>
          <w:sz w:val="24"/>
        </w:rPr>
        <w:t>甲方须在"安徽省固体废物管理信息系统"中如实完成危险废物转移备案。</w:t>
      </w:r>
    </w:p>
    <w:p w14:paraId="7F1124C0">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5.2  交接确认</w:t>
      </w:r>
      <w:r>
        <w:rPr>
          <w:rFonts w:hint="eastAsia" w:ascii="Times New Roman" w:hAnsi="Times New Roman" w:eastAsia="宋体"/>
          <w:b/>
          <w:sz w:val="24"/>
          <w:lang w:val="en-US" w:eastAsia="zh-CN"/>
        </w:rPr>
        <w:t xml:space="preserve">  </w:t>
      </w:r>
      <w:r>
        <w:rPr>
          <w:rFonts w:ascii="Times New Roman" w:hAnsi="Times New Roman" w:eastAsia="宋体"/>
          <w:b w:val="0"/>
          <w:sz w:val="24"/>
        </w:rPr>
        <w:t>双方严格执行《危险废物转移联单管理办法》，在每次转移交接时，须如实填写《危险废物交接单》，并由双方授权代表签字确认。</w:t>
      </w:r>
    </w:p>
    <w:p w14:paraId="7871A6A4">
      <w:pPr>
        <w:keepNext w:val="0"/>
        <w:keepLines w:val="0"/>
        <w:pageBreakBefore w:val="0"/>
        <w:widowControl/>
        <w:kinsoku/>
        <w:wordWrap/>
        <w:overflowPunct/>
        <w:topLinePunct w:val="0"/>
        <w:autoSpaceDE/>
        <w:autoSpaceDN/>
        <w:bidi w:val="0"/>
        <w:adjustRightInd/>
        <w:snapToGrid/>
        <w:spacing w:after="0" w:line="360" w:lineRule="auto"/>
        <w:jc w:val="left"/>
        <w:textAlignment w:val="auto"/>
      </w:pPr>
      <w:r>
        <w:rPr>
          <w:rFonts w:ascii="Times New Roman" w:hAnsi="Times New Roman" w:eastAsia="黑体"/>
          <w:b/>
          <w:sz w:val="28"/>
        </w:rPr>
        <w:t>第六条  废物的计量</w:t>
      </w:r>
    </w:p>
    <w:p w14:paraId="42021A72">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val="0"/>
          <w:sz w:val="24"/>
        </w:rPr>
        <w:t>危险废物的最终结算数量，以甲乙双方共同过磅的数据或"安徽省固体废物管理信息系统"中转移联单记载的数据为准。</w:t>
      </w:r>
    </w:p>
    <w:p w14:paraId="473337F3">
      <w:pPr>
        <w:keepNext w:val="0"/>
        <w:keepLines w:val="0"/>
        <w:pageBreakBefore w:val="0"/>
        <w:widowControl/>
        <w:kinsoku/>
        <w:wordWrap/>
        <w:overflowPunct/>
        <w:topLinePunct w:val="0"/>
        <w:autoSpaceDE/>
        <w:autoSpaceDN/>
        <w:bidi w:val="0"/>
        <w:adjustRightInd/>
        <w:snapToGrid/>
        <w:spacing w:after="0" w:line="360" w:lineRule="auto"/>
        <w:jc w:val="left"/>
        <w:textAlignment w:val="auto"/>
      </w:pPr>
      <w:r>
        <w:rPr>
          <w:rFonts w:ascii="Times New Roman" w:hAnsi="Times New Roman" w:eastAsia="黑体"/>
          <w:b/>
          <w:sz w:val="28"/>
        </w:rPr>
        <w:t>第七条  运输服务</w:t>
      </w:r>
    </w:p>
    <w:p w14:paraId="39C23B2A">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7.1  运输责任</w:t>
      </w:r>
      <w:r>
        <w:rPr>
          <w:rFonts w:hint="eastAsia" w:ascii="Times New Roman" w:hAnsi="Times New Roman" w:eastAsia="宋体"/>
          <w:b/>
          <w:sz w:val="24"/>
          <w:lang w:val="en-US" w:eastAsia="zh-CN"/>
        </w:rPr>
        <w:t xml:space="preserve">  </w:t>
      </w:r>
      <w:r>
        <w:rPr>
          <w:rFonts w:ascii="Times New Roman" w:hAnsi="Times New Roman" w:eastAsia="宋体"/>
          <w:b w:val="0"/>
          <w:sz w:val="24"/>
        </w:rPr>
        <w:t>本合同项下危险废物的运输由乙方全权负责。</w:t>
      </w:r>
    </w:p>
    <w:p w14:paraId="79559C68">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7.2  资质要求</w:t>
      </w:r>
      <w:r>
        <w:rPr>
          <w:rFonts w:hint="eastAsia" w:ascii="Times New Roman" w:hAnsi="Times New Roman" w:eastAsia="宋体"/>
          <w:b/>
          <w:sz w:val="24"/>
          <w:lang w:val="en-US" w:eastAsia="zh-CN"/>
        </w:rPr>
        <w:t xml:space="preserve">  </w:t>
      </w:r>
      <w:r>
        <w:rPr>
          <w:rFonts w:ascii="Times New Roman" w:hAnsi="Times New Roman" w:eastAsia="宋体"/>
          <w:b w:val="0"/>
          <w:sz w:val="24"/>
        </w:rPr>
        <w:t>乙方须安排具备危险货物运输资质的专用车辆进行运输，驾驶员及押运员必须持证上岗，确保运输过程的安全合规。</w:t>
      </w:r>
    </w:p>
    <w:p w14:paraId="4D56FB8C">
      <w:pPr>
        <w:keepNext w:val="0"/>
        <w:keepLines w:val="0"/>
        <w:pageBreakBefore w:val="0"/>
        <w:widowControl/>
        <w:kinsoku/>
        <w:wordWrap/>
        <w:overflowPunct/>
        <w:topLinePunct w:val="0"/>
        <w:autoSpaceDE/>
        <w:autoSpaceDN/>
        <w:bidi w:val="0"/>
        <w:adjustRightInd/>
        <w:snapToGrid/>
        <w:spacing w:after="0" w:line="360" w:lineRule="auto"/>
        <w:jc w:val="left"/>
        <w:textAlignment w:val="auto"/>
      </w:pPr>
      <w:r>
        <w:rPr>
          <w:rFonts w:ascii="Times New Roman" w:hAnsi="Times New Roman" w:eastAsia="黑体"/>
          <w:b/>
          <w:sz w:val="28"/>
        </w:rPr>
        <w:t>第八条  费用结算</w:t>
      </w:r>
    </w:p>
    <w:p w14:paraId="2A353727">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rPr>
          <w:rFonts w:hint="default" w:eastAsia="宋体"/>
          <w:lang w:val="en-US" w:eastAsia="zh-CN"/>
        </w:rPr>
      </w:pPr>
      <w:r>
        <w:rPr>
          <w:rFonts w:ascii="Times New Roman" w:hAnsi="Times New Roman" w:eastAsia="宋体"/>
          <w:b/>
          <w:sz w:val="24"/>
        </w:rPr>
        <w:t>8.1  结算依据</w:t>
      </w:r>
      <w:r>
        <w:rPr>
          <w:rFonts w:hint="eastAsia" w:ascii="Times New Roman" w:hAnsi="Times New Roman" w:eastAsia="宋体"/>
          <w:b/>
          <w:sz w:val="24"/>
          <w:lang w:val="en-US" w:eastAsia="zh-CN"/>
        </w:rPr>
        <w:t xml:space="preserve">  </w:t>
      </w:r>
      <w:r>
        <w:rPr>
          <w:rFonts w:hint="eastAsia" w:ascii="Times New Roman" w:hAnsi="Times New Roman" w:eastAsia="宋体"/>
          <w:b w:val="0"/>
          <w:sz w:val="24"/>
          <w:lang w:val="en-US" w:eastAsia="zh-CN"/>
        </w:rPr>
        <w:t>本项目年度预算最高限价人民币</w:t>
      </w:r>
      <w:r>
        <w:rPr>
          <w:rFonts w:hint="eastAsia" w:ascii="Times New Roman" w:hAnsi="Times New Roman" w:eastAsia="宋体"/>
          <w:b w:val="0"/>
          <w:sz w:val="24"/>
          <w:u w:val="single"/>
          <w:lang w:val="en-US" w:eastAsia="zh-CN"/>
        </w:rPr>
        <w:t xml:space="preserve">          </w:t>
      </w:r>
      <w:r>
        <w:rPr>
          <w:rFonts w:hint="eastAsia" w:ascii="Times New Roman" w:hAnsi="Times New Roman" w:eastAsia="宋体"/>
          <w:b w:val="0"/>
          <w:sz w:val="24"/>
          <w:lang w:val="en-US" w:eastAsia="zh-CN"/>
        </w:rPr>
        <w:t>元（大写：</w:t>
      </w:r>
      <w:r>
        <w:rPr>
          <w:rFonts w:hint="eastAsia" w:ascii="Times New Roman" w:hAnsi="Times New Roman" w:eastAsia="宋体"/>
          <w:b w:val="0"/>
          <w:sz w:val="24"/>
          <w:u w:val="single"/>
          <w:lang w:val="en-US" w:eastAsia="zh-CN"/>
        </w:rPr>
        <w:t xml:space="preserve">         </w:t>
      </w:r>
      <w:r>
        <w:rPr>
          <w:rFonts w:hint="eastAsia" w:ascii="Times New Roman" w:hAnsi="Times New Roman" w:eastAsia="宋体"/>
          <w:b w:val="0"/>
          <w:sz w:val="24"/>
          <w:lang w:val="en-US" w:eastAsia="zh-CN"/>
        </w:rPr>
        <w:t>）为总报价，包含清运过程中产生的所有费用。</w:t>
      </w:r>
    </w:p>
    <w:p w14:paraId="495EB311">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rPr>
          <w:color w:val="FF0000"/>
        </w:rPr>
      </w:pPr>
      <w:r>
        <w:rPr>
          <w:rFonts w:ascii="Times New Roman" w:hAnsi="Times New Roman" w:eastAsia="宋体"/>
          <w:b/>
          <w:sz w:val="24"/>
        </w:rPr>
        <w:t>8.2  付款</w:t>
      </w:r>
      <w:r>
        <w:rPr>
          <w:rFonts w:hint="eastAsia" w:ascii="Times New Roman" w:hAnsi="Times New Roman" w:eastAsia="宋体"/>
          <w:b/>
          <w:sz w:val="24"/>
          <w:lang w:val="en-US" w:eastAsia="zh-CN"/>
        </w:rPr>
        <w:t xml:space="preserve">条件  </w:t>
      </w:r>
      <w:r>
        <w:rPr>
          <w:rFonts w:ascii="Times New Roman" w:hAnsi="Times New Roman" w:eastAsia="宋体"/>
          <w:b w:val="0"/>
          <w:sz w:val="24"/>
        </w:rPr>
        <w:t>危险废物转移至乙方厂区且双方确认无误后，乙方须向甲方提供合法有效的增值税发票。甲方在收到发票</w:t>
      </w:r>
      <w:r>
        <w:rPr>
          <w:rFonts w:hint="eastAsia" w:ascii="Times New Roman" w:hAnsi="Times New Roman" w:eastAsia="宋体"/>
          <w:b w:val="0"/>
          <w:sz w:val="24"/>
          <w:lang w:val="en-US" w:eastAsia="zh-CN"/>
        </w:rPr>
        <w:t>后180个工作日内付款，通过银行转账方式一次性付清该笔款项</w:t>
      </w:r>
      <w:r>
        <w:rPr>
          <w:rFonts w:ascii="Times New Roman" w:hAnsi="Times New Roman" w:eastAsia="宋体"/>
          <w:b w:val="0"/>
          <w:color w:val="auto"/>
          <w:sz w:val="24"/>
        </w:rPr>
        <w:t>。</w:t>
      </w:r>
    </w:p>
    <w:p w14:paraId="3F95F467">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8.3  费用不退</w:t>
      </w:r>
      <w:r>
        <w:rPr>
          <w:rFonts w:hint="eastAsia" w:ascii="Times New Roman" w:hAnsi="Times New Roman" w:eastAsia="宋体"/>
          <w:b/>
          <w:sz w:val="24"/>
          <w:lang w:val="en-US" w:eastAsia="zh-CN"/>
        </w:rPr>
        <w:t xml:space="preserve">  </w:t>
      </w:r>
      <w:r>
        <w:rPr>
          <w:rFonts w:ascii="Times New Roman" w:hAnsi="Times New Roman" w:eastAsia="宋体"/>
          <w:b w:val="0"/>
          <w:sz w:val="24"/>
        </w:rPr>
        <w:t>非因乙方原因导致危险废物未能被接收的，已产生的相关费用不予返还，亦不作后续抵扣使用。</w:t>
      </w:r>
      <w:bookmarkStart w:id="0" w:name="_GoBack"/>
      <w:bookmarkEnd w:id="0"/>
    </w:p>
    <w:p w14:paraId="3FE9EB65">
      <w:pPr>
        <w:keepNext w:val="0"/>
        <w:keepLines w:val="0"/>
        <w:pageBreakBefore w:val="0"/>
        <w:widowControl/>
        <w:kinsoku/>
        <w:wordWrap/>
        <w:overflowPunct/>
        <w:topLinePunct w:val="0"/>
        <w:autoSpaceDE/>
        <w:autoSpaceDN/>
        <w:bidi w:val="0"/>
        <w:adjustRightInd/>
        <w:snapToGrid/>
        <w:spacing w:after="0" w:line="360" w:lineRule="auto"/>
        <w:jc w:val="left"/>
        <w:textAlignment w:val="auto"/>
      </w:pPr>
      <w:r>
        <w:rPr>
          <w:rFonts w:ascii="Times New Roman" w:hAnsi="Times New Roman" w:eastAsia="黑体"/>
          <w:b/>
          <w:sz w:val="28"/>
        </w:rPr>
        <w:t>第九条  违约责任</w:t>
      </w:r>
    </w:p>
    <w:p w14:paraId="3F94C428">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9.1  运输延误罚则</w:t>
      </w:r>
      <w:r>
        <w:rPr>
          <w:rFonts w:hint="eastAsia" w:ascii="Times New Roman" w:hAnsi="Times New Roman" w:eastAsia="宋体"/>
          <w:b/>
          <w:sz w:val="24"/>
          <w:lang w:val="en-US" w:eastAsia="zh-CN"/>
        </w:rPr>
        <w:t xml:space="preserve">  </w:t>
      </w:r>
      <w:r>
        <w:rPr>
          <w:rFonts w:ascii="Times New Roman" w:hAnsi="Times New Roman" w:eastAsia="宋体"/>
          <w:b w:val="0"/>
          <w:sz w:val="24"/>
        </w:rPr>
        <w:t>乙方未按约定时间到达甲方指定地点进行运输的，每迟到一天，须向甲方支付违约金人民币2,000元。</w:t>
      </w:r>
    </w:p>
    <w:p w14:paraId="7ED86FCF">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9.2  一般违约处理</w:t>
      </w:r>
      <w:r>
        <w:rPr>
          <w:rFonts w:hint="eastAsia" w:ascii="Times New Roman" w:hAnsi="Times New Roman" w:eastAsia="宋体"/>
          <w:b/>
          <w:sz w:val="24"/>
          <w:lang w:val="en-US" w:eastAsia="zh-CN"/>
        </w:rPr>
        <w:t xml:space="preserve">  </w:t>
      </w:r>
      <w:r>
        <w:rPr>
          <w:rFonts w:ascii="Times New Roman" w:hAnsi="Times New Roman" w:eastAsia="宋体"/>
          <w:b w:val="0"/>
          <w:sz w:val="24"/>
        </w:rPr>
        <w:t>任何一方违反本合同约定，守约方有权书面通知违约方停止违约行为并限期纠正；违约方在收到书面通知后拒不改正的，守约方有权单方终止合同，并要求违约方赔偿由此造成的全部损失。</w:t>
      </w:r>
    </w:p>
    <w:p w14:paraId="61EF6703">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9.3  禁止无故终止</w:t>
      </w:r>
      <w:r>
        <w:rPr>
          <w:rFonts w:hint="eastAsia" w:ascii="Times New Roman" w:hAnsi="Times New Roman" w:eastAsia="宋体"/>
          <w:b/>
          <w:sz w:val="24"/>
          <w:lang w:val="en-US" w:eastAsia="zh-CN"/>
        </w:rPr>
        <w:t xml:space="preserve">  </w:t>
      </w:r>
      <w:r>
        <w:rPr>
          <w:rFonts w:ascii="Times New Roman" w:hAnsi="Times New Roman" w:eastAsia="宋体"/>
          <w:b w:val="0"/>
          <w:sz w:val="24"/>
        </w:rPr>
        <w:t>除本合同另有约定或法定情形外，任何一方不得无正当理由单方终止合同。</w:t>
      </w:r>
    </w:p>
    <w:p w14:paraId="67305868">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9.4  严重违约解除</w:t>
      </w:r>
      <w:r>
        <w:rPr>
          <w:rFonts w:hint="eastAsia" w:ascii="Times New Roman" w:hAnsi="Times New Roman" w:eastAsia="宋体"/>
          <w:b/>
          <w:sz w:val="24"/>
          <w:lang w:val="en-US" w:eastAsia="zh-CN"/>
        </w:rPr>
        <w:t xml:space="preserve">  </w:t>
      </w:r>
      <w:r>
        <w:rPr>
          <w:rFonts w:ascii="Times New Roman" w:hAnsi="Times New Roman" w:eastAsia="宋体"/>
          <w:b w:val="0"/>
          <w:sz w:val="24"/>
        </w:rPr>
        <w:t>若任何一方严重违反本合同第三条、第四条之约定，导致环境污染事故或重大安全隐患的，守约方有权立即解除合同，并依法向生态环境主管部门报告。</w:t>
      </w:r>
    </w:p>
    <w:p w14:paraId="0FDB38E9">
      <w:pPr>
        <w:keepNext w:val="0"/>
        <w:keepLines w:val="0"/>
        <w:pageBreakBefore w:val="0"/>
        <w:widowControl/>
        <w:kinsoku/>
        <w:wordWrap/>
        <w:overflowPunct/>
        <w:topLinePunct w:val="0"/>
        <w:autoSpaceDE/>
        <w:autoSpaceDN/>
        <w:bidi w:val="0"/>
        <w:adjustRightInd/>
        <w:snapToGrid/>
        <w:spacing w:after="0" w:line="360" w:lineRule="auto"/>
        <w:jc w:val="left"/>
        <w:textAlignment w:val="auto"/>
      </w:pPr>
      <w:r>
        <w:rPr>
          <w:rFonts w:ascii="Times New Roman" w:hAnsi="Times New Roman" w:eastAsia="黑体"/>
          <w:b/>
          <w:sz w:val="28"/>
        </w:rPr>
        <w:t>第十条  合同的免责</w:t>
      </w:r>
    </w:p>
    <w:p w14:paraId="3FEFF826">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10.1  不可抗力</w:t>
      </w:r>
      <w:r>
        <w:rPr>
          <w:rFonts w:hint="eastAsia" w:ascii="Times New Roman" w:hAnsi="Times New Roman" w:eastAsia="宋体"/>
          <w:b/>
          <w:sz w:val="24"/>
          <w:lang w:val="en-US" w:eastAsia="zh-CN"/>
        </w:rPr>
        <w:t xml:space="preserve">  </w:t>
      </w:r>
      <w:r>
        <w:rPr>
          <w:rFonts w:ascii="Times New Roman" w:hAnsi="Times New Roman" w:eastAsia="宋体"/>
          <w:b w:val="0"/>
          <w:sz w:val="24"/>
        </w:rPr>
        <w:t>因自然灾害、政府行为等不可抗力因素导致本合同无法履行的，遭受不可抗力的一方应在事件发生后7日内以书面形式通知对方，并提供相关证明，双方可根据不可抗力的影响程度，部分或全部免除违约责任。</w:t>
      </w:r>
    </w:p>
    <w:p w14:paraId="6EE23BCC">
      <w:pPr>
        <w:keepNext w:val="0"/>
        <w:keepLines w:val="0"/>
        <w:pageBreakBefore w:val="0"/>
        <w:widowControl/>
        <w:kinsoku/>
        <w:wordWrap/>
        <w:overflowPunct/>
        <w:topLinePunct w:val="0"/>
        <w:autoSpaceDE/>
        <w:autoSpaceDN/>
        <w:bidi w:val="0"/>
        <w:adjustRightInd/>
        <w:snapToGrid/>
        <w:spacing w:after="0" w:line="360" w:lineRule="auto"/>
        <w:jc w:val="left"/>
        <w:textAlignment w:val="auto"/>
      </w:pPr>
      <w:r>
        <w:rPr>
          <w:rFonts w:ascii="Times New Roman" w:hAnsi="Times New Roman" w:eastAsia="黑体"/>
          <w:b/>
          <w:sz w:val="28"/>
        </w:rPr>
        <w:t>第十一条  合同其他事宜</w:t>
      </w:r>
    </w:p>
    <w:p w14:paraId="1A6B0745">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11.1  合同期限</w:t>
      </w:r>
      <w:r>
        <w:rPr>
          <w:rFonts w:hint="eastAsia" w:ascii="Times New Roman" w:hAnsi="Times New Roman" w:eastAsia="宋体"/>
          <w:b/>
          <w:sz w:val="24"/>
          <w:lang w:val="en-US" w:eastAsia="zh-CN"/>
        </w:rPr>
        <w:t xml:space="preserve">  </w:t>
      </w:r>
      <w:r>
        <w:rPr>
          <w:rFonts w:ascii="Times New Roman" w:hAnsi="Times New Roman" w:eastAsia="宋体"/>
          <w:b w:val="0"/>
          <w:sz w:val="24"/>
        </w:rPr>
        <w:t>本合同有效期为壹年。</w:t>
      </w:r>
    </w:p>
    <w:p w14:paraId="1D9D7024">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11.2  争议解决</w:t>
      </w:r>
      <w:r>
        <w:rPr>
          <w:rFonts w:hint="eastAsia" w:ascii="Times New Roman" w:hAnsi="Times New Roman" w:eastAsia="宋体"/>
          <w:b/>
          <w:sz w:val="24"/>
          <w:lang w:val="en-US" w:eastAsia="zh-CN"/>
        </w:rPr>
        <w:t xml:space="preserve">  </w:t>
      </w:r>
      <w:r>
        <w:rPr>
          <w:rFonts w:ascii="Times New Roman" w:hAnsi="Times New Roman" w:eastAsia="宋体"/>
          <w:b w:val="0"/>
          <w:sz w:val="24"/>
        </w:rPr>
        <w:t>因履行本合同发生的争议，双方应友好协商解决；协商不成的，任何一方均有权向乙方所在地有管辖权的人民法院提起诉讼。</w:t>
      </w:r>
    </w:p>
    <w:p w14:paraId="22D1F7F9">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11.3  合同份数</w:t>
      </w:r>
      <w:r>
        <w:rPr>
          <w:rFonts w:hint="eastAsia" w:ascii="Times New Roman" w:hAnsi="Times New Roman" w:eastAsia="宋体"/>
          <w:b/>
          <w:sz w:val="24"/>
          <w:lang w:val="en-US" w:eastAsia="zh-CN"/>
        </w:rPr>
        <w:t xml:space="preserve">  </w:t>
      </w:r>
      <w:r>
        <w:rPr>
          <w:rFonts w:ascii="Times New Roman" w:hAnsi="Times New Roman" w:eastAsia="宋体"/>
          <w:b w:val="0"/>
          <w:sz w:val="24"/>
        </w:rPr>
        <w:t>本合同一式肆份，甲方执贰份，乙方执贰份，具有同等法律效力。</w:t>
      </w:r>
    </w:p>
    <w:p w14:paraId="5AA02B76">
      <w:pPr>
        <w:keepNext w:val="0"/>
        <w:keepLines w:val="0"/>
        <w:pageBreakBefore w:val="0"/>
        <w:widowControl/>
        <w:kinsoku/>
        <w:wordWrap/>
        <w:overflowPunct/>
        <w:topLinePunct w:val="0"/>
        <w:autoSpaceDE/>
        <w:autoSpaceDN/>
        <w:bidi w:val="0"/>
        <w:adjustRightInd/>
        <w:snapToGrid/>
        <w:spacing w:after="0" w:line="360" w:lineRule="auto"/>
        <w:ind w:firstLine="480"/>
        <w:jc w:val="both"/>
        <w:textAlignment w:val="auto"/>
      </w:pPr>
      <w:r>
        <w:rPr>
          <w:rFonts w:ascii="Times New Roman" w:hAnsi="Times New Roman" w:eastAsia="宋体"/>
          <w:b/>
          <w:sz w:val="24"/>
        </w:rPr>
        <w:t>11.4  生效条件</w:t>
      </w:r>
      <w:r>
        <w:rPr>
          <w:rFonts w:hint="eastAsia" w:ascii="Times New Roman" w:hAnsi="Times New Roman" w:eastAsia="宋体"/>
          <w:b/>
          <w:sz w:val="24"/>
          <w:lang w:val="en-US" w:eastAsia="zh-CN"/>
        </w:rPr>
        <w:t xml:space="preserve">  </w:t>
      </w:r>
      <w:r>
        <w:rPr>
          <w:rFonts w:ascii="Times New Roman" w:hAnsi="Times New Roman" w:eastAsia="宋体"/>
          <w:b w:val="0"/>
          <w:sz w:val="24"/>
        </w:rPr>
        <w:t>本合同自双方法定代表人或授权代表签字并加盖公章（或合同专用章）之日起生效。</w:t>
      </w:r>
    </w:p>
    <w:p w14:paraId="658DA53A">
      <w:pPr>
        <w:keepNext w:val="0"/>
        <w:keepLines w:val="0"/>
        <w:pageBreakBefore w:val="0"/>
        <w:widowControl/>
        <w:kinsoku/>
        <w:wordWrap/>
        <w:overflowPunct/>
        <w:topLinePunct w:val="0"/>
        <w:autoSpaceDE/>
        <w:autoSpaceDN/>
        <w:bidi w:val="0"/>
        <w:adjustRightInd/>
        <w:snapToGrid/>
        <w:spacing w:after="0" w:line="360" w:lineRule="auto"/>
        <w:textAlignment w:val="auto"/>
      </w:pPr>
    </w:p>
    <w:p w14:paraId="2A58D93C">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ascii="Times New Roman" w:hAnsi="Times New Roman" w:eastAsia="黑体"/>
          <w:b/>
          <w:sz w:val="28"/>
        </w:rPr>
      </w:pPr>
      <w:r>
        <w:rPr>
          <w:rFonts w:ascii="Times New Roman" w:hAnsi="Times New Roman" w:eastAsia="黑体"/>
          <w:b/>
          <w:sz w:val="28"/>
        </w:rPr>
        <w:t>第十二条  安全与责任</w:t>
      </w:r>
    </w:p>
    <w:p w14:paraId="54AE600C">
      <w:pPr>
        <w:keepNext w:val="0"/>
        <w:keepLines w:val="0"/>
        <w:pageBreakBefore w:val="0"/>
        <w:widowControl/>
        <w:kinsoku/>
        <w:wordWrap/>
        <w:overflowPunct/>
        <w:topLinePunct w:val="0"/>
        <w:autoSpaceDE/>
        <w:autoSpaceDN/>
        <w:bidi w:val="0"/>
        <w:adjustRightInd/>
        <w:snapToGrid/>
        <w:spacing w:after="0" w:line="360" w:lineRule="auto"/>
        <w:textAlignment w:val="auto"/>
      </w:pPr>
    </w:p>
    <w:p w14:paraId="51807795">
      <w:pPr>
        <w:keepNext w:val="0"/>
        <w:keepLines w:val="0"/>
        <w:pageBreakBefore w:val="0"/>
        <w:widowControl/>
        <w:kinsoku/>
        <w:wordWrap/>
        <w:overflowPunct/>
        <w:topLinePunct w:val="0"/>
        <w:autoSpaceDE/>
        <w:autoSpaceDN/>
        <w:bidi w:val="0"/>
        <w:adjustRightInd/>
        <w:snapToGrid/>
        <w:spacing w:after="0" w:line="360" w:lineRule="auto"/>
        <w:jc w:val="both"/>
        <w:textAlignment w:val="auto"/>
      </w:pPr>
      <w:r>
        <w:rPr>
          <w:rFonts w:ascii="Times New Roman" w:hAnsi="Times New Roman"/>
          <w:b/>
          <w:bCs/>
          <w:sz w:val="24"/>
          <w:szCs w:val="24"/>
        </w:rPr>
        <w:t xml:space="preserve">12.1  安全规范  </w:t>
      </w:r>
      <w:r>
        <w:rPr>
          <w:rFonts w:ascii="Times New Roman" w:hAnsi="Times New Roman" w:eastAsia="宋体"/>
          <w:b w:val="0"/>
          <w:sz w:val="24"/>
        </w:rPr>
        <w:t>乙方及乙方所派遣的项目服务人员在项目实施过程中，应严格遵守国家及行业相关安全操作规范，切实采取各项安全防护措施，确保项目服务过程中的安全。</w:t>
      </w:r>
    </w:p>
    <w:p w14:paraId="521CD71C">
      <w:pPr>
        <w:keepNext w:val="0"/>
        <w:keepLines w:val="0"/>
        <w:pageBreakBefore w:val="0"/>
        <w:widowControl/>
        <w:kinsoku/>
        <w:wordWrap/>
        <w:overflowPunct/>
        <w:topLinePunct w:val="0"/>
        <w:autoSpaceDE/>
        <w:autoSpaceDN/>
        <w:bidi w:val="0"/>
        <w:adjustRightInd/>
        <w:snapToGrid/>
        <w:spacing w:after="0" w:line="360" w:lineRule="auto"/>
        <w:jc w:val="both"/>
        <w:textAlignment w:val="auto"/>
      </w:pPr>
      <w:r>
        <w:rPr>
          <w:rFonts w:ascii="Times New Roman" w:hAnsi="Times New Roman"/>
          <w:b/>
          <w:bCs/>
          <w:sz w:val="24"/>
          <w:szCs w:val="24"/>
        </w:rPr>
        <w:t xml:space="preserve">12.2  责任承担  </w:t>
      </w:r>
      <w:r>
        <w:rPr>
          <w:rFonts w:ascii="Times New Roman" w:hAnsi="Times New Roman" w:eastAsia="宋体"/>
          <w:b w:val="0"/>
          <w:sz w:val="24"/>
        </w:rPr>
        <w:t>因乙方原因造成的人身伤害、财产损失及其他安全意外事故，均由乙方自行承担全部法律责任和经济赔偿，甲方不承担任何责任。</w:t>
      </w:r>
    </w:p>
    <w:p w14:paraId="408BDB4E">
      <w:pPr>
        <w:spacing w:line="360" w:lineRule="auto"/>
      </w:pPr>
    </w:p>
    <w:p w14:paraId="527F5532">
      <w:r>
        <w:rPr>
          <w:rFonts w:hint="eastAsia" w:eastAsia="宋体"/>
          <w:lang w:val="en-US" w:eastAsia="zh-CN"/>
        </w:rPr>
        <w:t xml:space="preserve">                   </w:t>
      </w:r>
    </w:p>
    <w:p w14:paraId="21D78517">
      <w:pPr>
        <w:spacing w:before="360" w:after="120" w:line="560" w:lineRule="exact"/>
        <w:jc w:val="left"/>
        <w:rPr>
          <w:rFonts w:hint="default" w:eastAsia="宋体"/>
          <w:lang w:val="en-US" w:eastAsia="zh-CN"/>
        </w:rPr>
      </w:pPr>
      <w:r>
        <w:rPr>
          <w:rFonts w:ascii="Times New Roman" w:hAnsi="Times New Roman" w:eastAsia="宋体"/>
          <w:b/>
          <w:sz w:val="24"/>
        </w:rPr>
        <w:t>甲方（盖章）：</w:t>
      </w:r>
      <w:r>
        <w:rPr>
          <w:rFonts w:ascii="Times New Roman" w:hAnsi="Times New Roman" w:eastAsia="宋体"/>
          <w:b w:val="0"/>
          <w:sz w:val="24"/>
        </w:rPr>
        <w:t>萧县人民医院</w:t>
      </w:r>
      <w:r>
        <w:rPr>
          <w:rFonts w:hint="eastAsia" w:ascii="Times New Roman" w:hAnsi="Times New Roman" w:eastAsia="宋体"/>
          <w:b w:val="0"/>
          <w:sz w:val="24"/>
          <w:lang w:val="en-US" w:eastAsia="zh-CN"/>
        </w:rPr>
        <w:t xml:space="preserve">                     </w:t>
      </w:r>
      <w:r>
        <w:rPr>
          <w:rFonts w:ascii="Times New Roman" w:hAnsi="Times New Roman" w:eastAsia="宋体"/>
          <w:b/>
          <w:sz w:val="24"/>
        </w:rPr>
        <w:t>乙方（盖章）：</w:t>
      </w:r>
    </w:p>
    <w:p w14:paraId="4EDE4745">
      <w:pPr>
        <w:spacing w:before="60" w:after="60" w:line="560" w:lineRule="exact"/>
        <w:jc w:val="left"/>
        <w:rPr>
          <w:rFonts w:hint="default" w:ascii="Times New Roman" w:hAnsi="Times New Roman" w:eastAsia="宋体"/>
          <w:b w:val="0"/>
          <w:sz w:val="24"/>
          <w:lang w:val="en-US" w:eastAsia="zh-CN"/>
        </w:rPr>
      </w:pPr>
      <w:r>
        <w:rPr>
          <w:rFonts w:ascii="Times New Roman" w:hAnsi="Times New Roman" w:eastAsia="宋体"/>
          <w:b w:val="0"/>
          <w:sz w:val="24"/>
        </w:rPr>
        <w:t>法定代表人</w:t>
      </w:r>
      <w:r>
        <w:rPr>
          <w:rFonts w:hint="eastAsia" w:ascii="Times New Roman" w:hAnsi="Times New Roman" w:eastAsia="宋体"/>
          <w:b w:val="0"/>
          <w:sz w:val="24"/>
          <w:lang w:val="en-US" w:eastAsia="zh-CN"/>
        </w:rPr>
        <w:t xml:space="preserve">                                                    </w:t>
      </w:r>
      <w:r>
        <w:rPr>
          <w:rFonts w:ascii="Times New Roman" w:hAnsi="Times New Roman" w:eastAsia="宋体"/>
          <w:b w:val="0"/>
          <w:sz w:val="24"/>
        </w:rPr>
        <w:t>法定代表人</w:t>
      </w:r>
    </w:p>
    <w:p w14:paraId="036EB4E6">
      <w:pPr>
        <w:spacing w:before="60" w:after="60" w:line="560" w:lineRule="exact"/>
        <w:jc w:val="left"/>
        <w:rPr>
          <w:rFonts w:hint="default" w:ascii="Times New Roman" w:hAnsi="Times New Roman" w:eastAsia="宋体"/>
          <w:b w:val="0"/>
          <w:sz w:val="24"/>
          <w:u w:val="single"/>
          <w:lang w:val="en-US" w:eastAsia="zh-CN"/>
        </w:rPr>
      </w:pPr>
      <w:r>
        <w:rPr>
          <w:rFonts w:ascii="Times New Roman" w:hAnsi="Times New Roman" w:eastAsia="宋体"/>
          <w:b w:val="0"/>
          <w:sz w:val="24"/>
        </w:rPr>
        <w:t>或授权代表（签字）：</w:t>
      </w:r>
      <w:r>
        <w:rPr>
          <w:rFonts w:hint="eastAsia" w:ascii="Times New Roman" w:hAnsi="Times New Roman" w:eastAsia="宋体"/>
          <w:b w:val="0"/>
          <w:sz w:val="24"/>
          <w:u w:val="single"/>
          <w:lang w:val="en-US" w:eastAsia="zh-CN"/>
        </w:rPr>
        <w:t xml:space="preserve">             </w:t>
      </w:r>
      <w:r>
        <w:rPr>
          <w:rFonts w:hint="eastAsia" w:ascii="Times New Roman" w:hAnsi="Times New Roman" w:eastAsia="宋体"/>
          <w:b w:val="0"/>
          <w:sz w:val="24"/>
          <w:lang w:val="en-US" w:eastAsia="zh-CN"/>
        </w:rPr>
        <w:t xml:space="preserve">                   </w:t>
      </w:r>
      <w:r>
        <w:rPr>
          <w:rFonts w:ascii="Times New Roman" w:hAnsi="Times New Roman" w:eastAsia="宋体"/>
          <w:b w:val="0"/>
          <w:sz w:val="24"/>
        </w:rPr>
        <w:t>或授权代表（签字）：___</w:t>
      </w:r>
      <w:r>
        <w:rPr>
          <w:rFonts w:ascii="Times New Roman" w:hAnsi="Times New Roman" w:eastAsia="宋体"/>
          <w:b w:val="0"/>
          <w:sz w:val="24"/>
          <w:u w:val="single"/>
        </w:rPr>
        <w:t>_</w:t>
      </w:r>
      <w:r>
        <w:rPr>
          <w:rFonts w:hint="eastAsia" w:ascii="Times New Roman" w:hAnsi="Times New Roman" w:eastAsia="宋体"/>
          <w:b w:val="0"/>
          <w:sz w:val="24"/>
          <w:u w:val="single"/>
          <w:lang w:val="en-US" w:eastAsia="zh-CN"/>
        </w:rPr>
        <w:t xml:space="preserve">          </w:t>
      </w:r>
      <w:r>
        <w:rPr>
          <w:rFonts w:ascii="Times New Roman" w:hAnsi="Times New Roman" w:eastAsia="宋体"/>
          <w:b w:val="0"/>
          <w:sz w:val="24"/>
          <w:u w:val="single"/>
        </w:rPr>
        <w:t>_</w:t>
      </w:r>
      <w:r>
        <w:rPr>
          <w:rFonts w:hint="eastAsia" w:ascii="Times New Roman" w:hAnsi="Times New Roman" w:eastAsia="宋体"/>
          <w:b w:val="0"/>
          <w:sz w:val="24"/>
          <w:u w:val="single"/>
          <w:lang w:val="en-US" w:eastAsia="zh-CN"/>
        </w:rPr>
        <w:t xml:space="preserve">  </w:t>
      </w:r>
    </w:p>
    <w:p w14:paraId="15D217C8">
      <w:pPr>
        <w:spacing w:before="60" w:after="60" w:line="560" w:lineRule="exact"/>
        <w:jc w:val="left"/>
        <w:rPr>
          <w:rFonts w:hint="default" w:eastAsia="宋体"/>
          <w:lang w:val="en-US" w:eastAsia="zh-CN"/>
        </w:rPr>
      </w:pPr>
      <w:r>
        <w:rPr>
          <w:rFonts w:ascii="Times New Roman" w:hAnsi="Times New Roman" w:eastAsia="宋体"/>
          <w:b w:val="0"/>
          <w:sz w:val="24"/>
        </w:rPr>
        <w:t>联系人：___________________</w:t>
      </w:r>
      <w:r>
        <w:rPr>
          <w:rFonts w:hint="eastAsia" w:ascii="Times New Roman" w:hAnsi="Times New Roman" w:eastAsia="宋体"/>
          <w:b w:val="0"/>
          <w:sz w:val="24"/>
          <w:lang w:val="en-US" w:eastAsia="zh-CN"/>
        </w:rPr>
        <w:t xml:space="preserve">                  联系</w:t>
      </w:r>
      <w:r>
        <w:rPr>
          <w:rFonts w:ascii="Times New Roman" w:hAnsi="Times New Roman" w:eastAsia="宋体"/>
          <w:b w:val="0"/>
          <w:sz w:val="24"/>
        </w:rPr>
        <w:t>人（签字）：____</w:t>
      </w:r>
      <w:r>
        <w:rPr>
          <w:rFonts w:ascii="Times New Roman" w:hAnsi="Times New Roman" w:eastAsia="宋体"/>
          <w:b w:val="0"/>
          <w:sz w:val="24"/>
          <w:u w:val="single"/>
        </w:rPr>
        <w:t>_</w:t>
      </w:r>
      <w:r>
        <w:rPr>
          <w:rFonts w:hint="eastAsia" w:ascii="Times New Roman" w:hAnsi="Times New Roman" w:eastAsia="宋体"/>
          <w:b w:val="0"/>
          <w:sz w:val="24"/>
          <w:u w:val="single"/>
          <w:lang w:val="en-US" w:eastAsia="zh-CN"/>
        </w:rPr>
        <w:t xml:space="preserve">          </w:t>
      </w:r>
      <w:r>
        <w:rPr>
          <w:rFonts w:ascii="Times New Roman" w:hAnsi="Times New Roman" w:eastAsia="宋体"/>
          <w:b w:val="0"/>
          <w:sz w:val="24"/>
          <w:u w:val="single"/>
        </w:rPr>
        <w:t>___</w:t>
      </w:r>
      <w:r>
        <w:rPr>
          <w:rFonts w:ascii="Times New Roman" w:hAnsi="Times New Roman" w:eastAsia="宋体"/>
          <w:b w:val="0"/>
          <w:sz w:val="24"/>
        </w:rPr>
        <w:t>___</w:t>
      </w:r>
    </w:p>
    <w:p w14:paraId="2A800A4C">
      <w:pPr>
        <w:spacing w:before="60" w:after="60" w:line="560" w:lineRule="exact"/>
        <w:jc w:val="left"/>
        <w:rPr>
          <w:rFonts w:hint="default" w:eastAsia="宋体"/>
          <w:u w:val="single"/>
          <w:lang w:val="en-US" w:eastAsia="zh-CN"/>
        </w:rPr>
      </w:pPr>
      <w:r>
        <w:rPr>
          <w:rFonts w:ascii="Times New Roman" w:hAnsi="Times New Roman" w:eastAsia="宋体"/>
          <w:b w:val="0"/>
          <w:sz w:val="24"/>
        </w:rPr>
        <w:t>联系电话：___________________</w:t>
      </w:r>
      <w:r>
        <w:rPr>
          <w:rFonts w:hint="eastAsia" w:ascii="Times New Roman" w:hAnsi="Times New Roman" w:eastAsia="宋体"/>
          <w:b w:val="0"/>
          <w:sz w:val="24"/>
          <w:lang w:val="en-US" w:eastAsia="zh-CN"/>
        </w:rPr>
        <w:t xml:space="preserve">              </w:t>
      </w:r>
      <w:r>
        <w:rPr>
          <w:rFonts w:ascii="Times New Roman" w:hAnsi="Times New Roman" w:eastAsia="宋体"/>
          <w:b w:val="0"/>
          <w:sz w:val="24"/>
        </w:rPr>
        <w:t>联系电话：________________</w:t>
      </w:r>
      <w:r>
        <w:rPr>
          <w:rFonts w:hint="eastAsia" w:ascii="Times New Roman" w:hAnsi="Times New Roman" w:eastAsia="宋体"/>
          <w:b w:val="0"/>
          <w:sz w:val="24"/>
          <w:lang w:val="en-US" w:eastAsia="zh-CN"/>
        </w:rPr>
        <w:t xml:space="preserve">  </w:t>
      </w:r>
    </w:p>
    <w:p w14:paraId="51B64167">
      <w:pPr>
        <w:spacing w:before="60" w:after="240" w:line="560" w:lineRule="exact"/>
        <w:jc w:val="left"/>
      </w:pPr>
      <w:r>
        <w:rPr>
          <w:rFonts w:ascii="Times New Roman" w:hAnsi="Times New Roman" w:eastAsia="宋体"/>
          <w:b w:val="0"/>
          <w:sz w:val="24"/>
        </w:rPr>
        <w:t>签订日期：_____年____月____日</w:t>
      </w:r>
      <w:r>
        <w:rPr>
          <w:rFonts w:hint="eastAsia" w:ascii="Times New Roman" w:hAnsi="Times New Roman" w:eastAsia="宋体"/>
          <w:b w:val="0"/>
          <w:sz w:val="24"/>
          <w:lang w:val="en-US" w:eastAsia="zh-CN"/>
        </w:rPr>
        <w:t xml:space="preserve">              </w:t>
      </w:r>
      <w:r>
        <w:rPr>
          <w:rFonts w:ascii="Times New Roman" w:hAnsi="Times New Roman" w:eastAsia="宋体"/>
          <w:b w:val="0"/>
          <w:sz w:val="24"/>
        </w:rPr>
        <w:t>开户行：</w:t>
      </w:r>
    </w:p>
    <w:p w14:paraId="09BF086C">
      <w:pPr>
        <w:spacing w:before="60" w:after="60" w:line="560" w:lineRule="exact"/>
        <w:ind w:firstLine="4320" w:firstLineChars="1800"/>
        <w:jc w:val="left"/>
      </w:pPr>
      <w:r>
        <w:rPr>
          <w:rFonts w:ascii="Times New Roman" w:hAnsi="Times New Roman" w:eastAsia="宋体"/>
          <w:b w:val="0"/>
          <w:sz w:val="24"/>
        </w:rPr>
        <w:t>帐号：</w:t>
      </w:r>
    </w:p>
    <w:p w14:paraId="39FD19E1">
      <w:pPr>
        <w:spacing w:before="60" w:after="240" w:line="560" w:lineRule="exact"/>
        <w:ind w:firstLine="4320" w:firstLineChars="1800"/>
        <w:jc w:val="left"/>
      </w:pPr>
      <w:r>
        <w:rPr>
          <w:rFonts w:ascii="Times New Roman" w:hAnsi="Times New Roman" w:eastAsia="宋体"/>
          <w:b w:val="0"/>
          <w:sz w:val="24"/>
        </w:rPr>
        <w:t>签订日期：_____年_____月_____日</w:t>
      </w:r>
    </w:p>
    <w:sectPr>
      <w:pgSz w:w="11906" w:h="16838"/>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60409020205020404"/>
    <w:charset w:val="00"/>
    <w:family w:val="auto"/>
    <w:pitch w:val="default"/>
    <w:sig w:usb0="00000000" w:usb1="00000000" w:usb2="00000000" w:usb3="00000000" w:csb0="00000093"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4BD08B1"/>
    <w:rsid w:val="16A82E40"/>
    <w:rsid w:val="1F1B770B"/>
    <w:rsid w:val="32732EB8"/>
    <w:rsid w:val="395F3E75"/>
    <w:rsid w:val="3FEA4C44"/>
    <w:rsid w:val="47A3636C"/>
    <w:rsid w:val="4CA5130A"/>
    <w:rsid w:val="4F5E1E31"/>
    <w:rsid w:val="573D5805"/>
    <w:rsid w:val="6D3B4A21"/>
    <w:rsid w:val="72022386"/>
    <w:rsid w:val="73886D67"/>
    <w:rsid w:val="77C60FEC"/>
    <w:rsid w:val="7A4C69F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2542</Words>
  <Characters>2760</Characters>
  <Lines>0</Lines>
  <Paragraphs>0</Paragraphs>
  <TotalTime>10</TotalTime>
  <ScaleCrop>false</ScaleCrop>
  <LinksUpToDate>false</LinksUpToDate>
  <CharactersWithSpaces>3170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桐翊</cp:lastModifiedBy>
  <cp:lastPrinted>2026-09-23T03:08:00Z</cp:lastPrinted>
  <dcterms:modified xsi:type="dcterms:W3CDTF">2026-09-23T03:34:56Z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eyJoZGlkIjoiNTc2YWQ0Yzk3ZDUzODllMzA1NjhhM2NjMDJiODkyOWIiLCJ1c2VySWQiOiI0NjMzNzQxNjcifQ==</vt:lpwstr>
  </property>
  <property fmtid="{D5CDD505-2E9C-101B-9397-08002B2CF9AE}" pid="3" name="KSOProductBuildVer">
    <vt:lpwstr>2052-12.1.0.28505</vt:lpwstr>
  </property>
  <property fmtid="{D5CDD505-2E9C-101B-9397-08002B2CF9AE}" pid="4" name="ICV">
    <vt:lpwstr>DBC28BEF293F4F65AB8146D54EC73E03_13</vt:lpwstr>
  </property>
</Properties>
</file>